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tblGrid>
      <w:tr w:rsidR="00C45748" w:rsidRPr="009753F2" w:rsidTr="00982D59">
        <w:tc>
          <w:tcPr>
            <w:tcW w:w="5949" w:type="dxa"/>
            <w:shd w:val="clear" w:color="auto" w:fill="0070C0"/>
          </w:tcPr>
          <w:p w:rsidR="00C45748" w:rsidRPr="009753F2" w:rsidRDefault="00D93067" w:rsidP="00D93067">
            <w:pPr>
              <w:autoSpaceDE w:val="0"/>
              <w:autoSpaceDN w:val="0"/>
              <w:adjustRightInd w:val="0"/>
              <w:spacing w:after="0" w:line="240" w:lineRule="auto"/>
              <w:rPr>
                <w:rFonts w:eastAsia="Times New Roman" w:cs="Book Antiqua"/>
                <w:b/>
                <w:color w:val="000000"/>
                <w:sz w:val="28"/>
                <w:szCs w:val="28"/>
                <w:lang w:eastAsia="en-GB"/>
              </w:rPr>
            </w:pPr>
            <w:r>
              <w:rPr>
                <w:rFonts w:eastAsia="Times New Roman" w:cs="Book Antiqua"/>
                <w:b/>
                <w:color w:val="FFFFFF"/>
                <w:sz w:val="28"/>
                <w:szCs w:val="28"/>
                <w:lang w:eastAsia="en-GB"/>
              </w:rPr>
              <w:t>INTRODUCTION</w:t>
            </w:r>
          </w:p>
        </w:tc>
      </w:tr>
    </w:tbl>
    <w:p w:rsidR="00CB5EF5" w:rsidRPr="003A5C94" w:rsidRDefault="00C45748" w:rsidP="00C45748">
      <w:pPr>
        <w:autoSpaceDE w:val="0"/>
        <w:autoSpaceDN w:val="0"/>
        <w:adjustRightInd w:val="0"/>
        <w:spacing w:after="0" w:line="240" w:lineRule="auto"/>
        <w:rPr>
          <w:rFonts w:eastAsia="Times New Roman" w:cs="Book Antiqua"/>
          <w:b/>
          <w:lang w:eastAsia="en-GB"/>
        </w:rPr>
      </w:pPr>
      <w:r w:rsidRPr="002B5EB6">
        <w:rPr>
          <w:rFonts w:eastAsia="Times New Roman" w:cs="Book Antiqua"/>
          <w:b/>
          <w:color w:val="0070C0"/>
          <w:lang w:eastAsia="en-GB"/>
        </w:rPr>
        <w:t>OIL-UK THERM</w:t>
      </w:r>
      <w:r w:rsidR="00387FE0" w:rsidRPr="002B5EB6">
        <w:rPr>
          <w:rFonts w:eastAsia="Times New Roman" w:cs="Book Antiqua"/>
          <w:b/>
          <w:color w:val="0070C0"/>
          <w:lang w:eastAsia="en-GB"/>
        </w:rPr>
        <w:t>ALTRANS FG</w:t>
      </w:r>
      <w:r w:rsidRPr="002B5EB6">
        <w:rPr>
          <w:rFonts w:eastAsia="Times New Roman" w:cs="Book Antiqua"/>
          <w:b/>
          <w:color w:val="000000"/>
          <w:lang w:eastAsia="en-GB"/>
        </w:rPr>
        <w:t xml:space="preserve"> </w:t>
      </w:r>
      <w:r w:rsidR="00387FE0" w:rsidRPr="002B5EB6">
        <w:rPr>
          <w:rFonts w:eastAsia="Times New Roman" w:cs="Book Antiqua"/>
          <w:b/>
          <w:color w:val="000000"/>
          <w:lang w:eastAsia="en-GB"/>
        </w:rPr>
        <w:t>represents a</w:t>
      </w:r>
      <w:r w:rsidR="00C67258" w:rsidRPr="002B5EB6">
        <w:rPr>
          <w:rFonts w:eastAsia="Times New Roman" w:cs="Book Antiqua"/>
          <w:b/>
          <w:color w:val="000000"/>
          <w:lang w:eastAsia="en-GB"/>
        </w:rPr>
        <w:t xml:space="preserve"> breakthrough</w:t>
      </w:r>
      <w:r w:rsidR="00387FE0" w:rsidRPr="002B5EB6">
        <w:rPr>
          <w:rFonts w:eastAsia="Times New Roman" w:cs="Book Antiqua"/>
          <w:b/>
          <w:color w:val="000000"/>
          <w:lang w:eastAsia="en-GB"/>
        </w:rPr>
        <w:t xml:space="preserve"> in</w:t>
      </w:r>
      <w:r w:rsidR="00C67258" w:rsidRPr="002B5EB6">
        <w:rPr>
          <w:rFonts w:eastAsia="Times New Roman" w:cs="Book Antiqua"/>
          <w:b/>
          <w:color w:val="000000"/>
          <w:lang w:eastAsia="en-GB"/>
        </w:rPr>
        <w:t xml:space="preserve"> heat transfer fluid technology</w:t>
      </w:r>
      <w:r w:rsidR="00387FE0" w:rsidRPr="002B5EB6">
        <w:rPr>
          <w:rFonts w:eastAsia="Times New Roman" w:cs="Book Antiqua"/>
          <w:b/>
          <w:color w:val="000000"/>
          <w:lang w:eastAsia="en-GB"/>
        </w:rPr>
        <w:t xml:space="preserve"> with</w:t>
      </w:r>
      <w:r w:rsidR="00454659" w:rsidRPr="002B5EB6">
        <w:rPr>
          <w:rFonts w:eastAsia="Times New Roman" w:cs="Book Antiqua"/>
          <w:b/>
          <w:color w:val="000000"/>
          <w:lang w:eastAsia="en-GB"/>
        </w:rPr>
        <w:t xml:space="preserve"> a</w:t>
      </w:r>
      <w:r w:rsidR="00387FE0" w:rsidRPr="002B5EB6">
        <w:rPr>
          <w:rFonts w:eastAsia="Times New Roman" w:cs="Book Antiqua"/>
          <w:b/>
          <w:color w:val="000000"/>
          <w:lang w:eastAsia="en-GB"/>
        </w:rPr>
        <w:t xml:space="preserve"> </w:t>
      </w:r>
      <w:r w:rsidR="00494766" w:rsidRPr="002B5EB6">
        <w:rPr>
          <w:rFonts w:eastAsia="Times New Roman" w:cs="Book Antiqua"/>
          <w:b/>
          <w:color w:val="000000"/>
          <w:lang w:eastAsia="en-GB"/>
        </w:rPr>
        <w:t>market leading flash point of over 260°C</w:t>
      </w:r>
      <w:r w:rsidR="00383054">
        <w:rPr>
          <w:rFonts w:eastAsia="Times New Roman" w:cs="Book Antiqua"/>
          <w:b/>
          <w:color w:val="000000"/>
          <w:lang w:eastAsia="en-GB"/>
        </w:rPr>
        <w:t>,</w:t>
      </w:r>
      <w:r w:rsidR="00494766" w:rsidRPr="002B5EB6">
        <w:rPr>
          <w:rFonts w:eastAsia="Times New Roman" w:cs="Book Antiqua"/>
          <w:b/>
          <w:color w:val="000000"/>
          <w:lang w:eastAsia="en-GB"/>
        </w:rPr>
        <w:t xml:space="preserve"> providing </w:t>
      </w:r>
      <w:r w:rsidR="00CB5EF5" w:rsidRPr="002B5EB6">
        <w:rPr>
          <w:rFonts w:eastAsia="Times New Roman" w:cs="Book Antiqua"/>
          <w:b/>
          <w:color w:val="000000"/>
          <w:lang w:eastAsia="en-GB"/>
        </w:rPr>
        <w:t xml:space="preserve">outstanding protection from </w:t>
      </w:r>
      <w:r w:rsidR="00060605">
        <w:rPr>
          <w:rFonts w:eastAsia="Times New Roman" w:cs="Book Antiqua"/>
          <w:b/>
          <w:color w:val="000000"/>
          <w:lang w:eastAsia="en-GB"/>
        </w:rPr>
        <w:t xml:space="preserve">thermal and </w:t>
      </w:r>
      <w:r w:rsidR="00CB5EF5" w:rsidRPr="002B5EB6">
        <w:rPr>
          <w:rFonts w:eastAsia="Times New Roman" w:cs="Book Antiqua"/>
          <w:b/>
          <w:color w:val="000000"/>
          <w:lang w:eastAsia="en-GB"/>
        </w:rPr>
        <w:t>oxidative breakdown</w:t>
      </w:r>
      <w:r w:rsidR="003A5C94" w:rsidRPr="003A5C94">
        <w:rPr>
          <w:rFonts w:eastAsia="Times New Roman" w:cs="Book Antiqua"/>
          <w:b/>
          <w:color w:val="000000"/>
          <w:lang w:eastAsia="en-GB"/>
        </w:rPr>
        <w:t>,</w:t>
      </w:r>
      <w:r w:rsidR="003A5C94" w:rsidRPr="003A5C94">
        <w:rPr>
          <w:rFonts w:eastAsia="Times New Roman" w:cs="Book Antiqua"/>
          <w:b/>
          <w:lang w:eastAsia="en-GB"/>
        </w:rPr>
        <w:t xml:space="preserve"> and free from the impurities that hinder the performance of other thermal fluids.</w:t>
      </w:r>
    </w:p>
    <w:p w:rsidR="00390305" w:rsidRDefault="00494766" w:rsidP="00FF338B">
      <w:pPr>
        <w:autoSpaceDE w:val="0"/>
        <w:autoSpaceDN w:val="0"/>
        <w:adjustRightInd w:val="0"/>
        <w:spacing w:after="0" w:line="240" w:lineRule="auto"/>
        <w:rPr>
          <w:rFonts w:eastAsia="Times New Roman" w:cs="Book Antiqua"/>
          <w:lang w:eastAsia="en-GB"/>
        </w:rPr>
      </w:pPr>
      <w:r w:rsidRPr="00390305">
        <w:rPr>
          <w:rFonts w:eastAsia="Times New Roman" w:cs="Book Antiqua"/>
          <w:lang w:eastAsia="en-GB"/>
        </w:rPr>
        <w:t xml:space="preserve">The unique </w:t>
      </w:r>
      <w:r w:rsidR="00CB5EF5" w:rsidRPr="00390305">
        <w:rPr>
          <w:rFonts w:eastAsia="Times New Roman" w:cs="Book Antiqua"/>
          <w:lang w:eastAsia="en-GB"/>
        </w:rPr>
        <w:t xml:space="preserve">ultra-high purity </w:t>
      </w:r>
      <w:r w:rsidRPr="00390305">
        <w:rPr>
          <w:rFonts w:eastAsia="Times New Roman" w:cs="Book Antiqua"/>
          <w:lang w:eastAsia="en-GB"/>
        </w:rPr>
        <w:t>composition of THERMALTRANS FG</w:t>
      </w:r>
      <w:r w:rsidR="0081387D" w:rsidRPr="00390305">
        <w:rPr>
          <w:rFonts w:eastAsia="Times New Roman" w:cs="Book Antiqua"/>
          <w:lang w:eastAsia="en-GB"/>
        </w:rPr>
        <w:t xml:space="preserve"> </w:t>
      </w:r>
      <w:r w:rsidR="00FB1681">
        <w:rPr>
          <w:rFonts w:eastAsia="Times New Roman" w:cs="Book Antiqua"/>
          <w:lang w:eastAsia="en-GB"/>
        </w:rPr>
        <w:t>means that it is</w:t>
      </w:r>
      <w:r w:rsidR="003A5C94">
        <w:rPr>
          <w:rFonts w:eastAsia="Times New Roman" w:cs="Book Antiqua"/>
          <w:lang w:eastAsia="en-GB"/>
        </w:rPr>
        <w:t xml:space="preserve"> colourless, odourless and tasteless,</w:t>
      </w:r>
      <w:r w:rsidR="003A5C94">
        <w:rPr>
          <w:rFonts w:eastAsia="Times New Roman" w:cs="Book Antiqua"/>
          <w:color w:val="000000"/>
          <w:lang w:eastAsia="en-GB"/>
        </w:rPr>
        <w:t xml:space="preserve"> helping food and pharmaceutical companies reduce the risk of oil contamination</w:t>
      </w:r>
      <w:r w:rsidR="00A94886">
        <w:rPr>
          <w:rFonts w:eastAsia="Times New Roman" w:cs="Book Antiqua"/>
          <w:color w:val="000000"/>
          <w:lang w:eastAsia="en-GB"/>
        </w:rPr>
        <w:t>, and enabling them to comply with Hazard Analysis Critical Control Point (HACCP) principles in relation to potential contamination hot spots.</w:t>
      </w:r>
    </w:p>
    <w:p w:rsidR="00D93067" w:rsidRDefault="003A2A69" w:rsidP="00C45748">
      <w:pPr>
        <w:autoSpaceDE w:val="0"/>
        <w:autoSpaceDN w:val="0"/>
        <w:adjustRightInd w:val="0"/>
        <w:spacing w:after="0" w:line="240" w:lineRule="auto"/>
        <w:rPr>
          <w:rFonts w:eastAsia="Times New Roman" w:cs="Book Antiqua"/>
          <w:lang w:eastAsia="en-GB"/>
        </w:rPr>
      </w:pPr>
      <w:r w:rsidRPr="00390305">
        <w:rPr>
          <w:rFonts w:eastAsia="Times New Roman" w:cs="Book Antiqua"/>
          <w:lang w:eastAsia="en-GB"/>
        </w:rPr>
        <w:t>THERMALTRANS FG is fully</w:t>
      </w:r>
      <w:r>
        <w:rPr>
          <w:rFonts w:eastAsia="Times New Roman" w:cs="Book Antiqua"/>
          <w:lang w:eastAsia="en-GB"/>
        </w:rPr>
        <w:t xml:space="preserve"> approved by the National Sanitary Foundation</w:t>
      </w:r>
      <w:r w:rsidRPr="00390305">
        <w:rPr>
          <w:rFonts w:eastAsia="Times New Roman" w:cs="Book Antiqua"/>
          <w:lang w:eastAsia="en-GB"/>
        </w:rPr>
        <w:t xml:space="preserve"> </w:t>
      </w:r>
      <w:r>
        <w:rPr>
          <w:rFonts w:eastAsia="Times New Roman" w:cs="Book Antiqua"/>
          <w:lang w:eastAsia="en-GB"/>
        </w:rPr>
        <w:t>(</w:t>
      </w:r>
      <w:r w:rsidRPr="00390305">
        <w:rPr>
          <w:rFonts w:eastAsia="Times New Roman" w:cs="Book Antiqua"/>
          <w:lang w:eastAsia="en-GB"/>
        </w:rPr>
        <w:t>NSF</w:t>
      </w:r>
      <w:r>
        <w:rPr>
          <w:rFonts w:eastAsia="Times New Roman" w:cs="Book Antiqua"/>
          <w:lang w:eastAsia="en-GB"/>
        </w:rPr>
        <w:t>) as</w:t>
      </w:r>
      <w:r w:rsidRPr="00390305">
        <w:rPr>
          <w:rFonts w:eastAsia="Times New Roman" w:cs="Book Antiqua"/>
          <w:lang w:eastAsia="en-GB"/>
        </w:rPr>
        <w:t xml:space="preserve"> </w:t>
      </w:r>
      <w:r>
        <w:rPr>
          <w:rFonts w:eastAsia="Times New Roman" w:cs="Book Antiqua"/>
          <w:lang w:eastAsia="en-GB"/>
        </w:rPr>
        <w:t>HT1 as suitable</w:t>
      </w:r>
      <w:r w:rsidRPr="00390305">
        <w:rPr>
          <w:rFonts w:eastAsia="Times New Roman" w:cs="Book Antiqua"/>
          <w:lang w:eastAsia="en-GB"/>
        </w:rPr>
        <w:t xml:space="preserve"> for incidental food contact and is FDA</w:t>
      </w:r>
      <w:r w:rsidR="00A94886">
        <w:rPr>
          <w:rFonts w:eastAsia="Times New Roman" w:cs="Book Antiqua"/>
          <w:lang w:eastAsia="en-GB"/>
        </w:rPr>
        <w:t xml:space="preserve"> Title 21</w:t>
      </w:r>
      <w:r w:rsidRPr="00390305">
        <w:rPr>
          <w:rFonts w:eastAsia="Times New Roman" w:cs="Book Antiqua"/>
          <w:lang w:eastAsia="en-GB"/>
        </w:rPr>
        <w:t xml:space="preserve"> CFR 178.3570 </w:t>
      </w:r>
      <w:r w:rsidR="00A94886">
        <w:rPr>
          <w:rFonts w:eastAsia="Times New Roman" w:cs="Book Antiqua"/>
          <w:lang w:eastAsia="en-GB"/>
        </w:rPr>
        <w:t xml:space="preserve">and 178.3620 </w:t>
      </w:r>
      <w:r w:rsidRPr="00390305">
        <w:rPr>
          <w:rFonts w:eastAsia="Times New Roman" w:cs="Book Antiqua"/>
          <w:lang w:eastAsia="en-GB"/>
        </w:rPr>
        <w:t>“Lubricants with incidental food contact” compliant.</w:t>
      </w:r>
    </w:p>
    <w:p w:rsidR="003A2A69" w:rsidRDefault="003A2A69" w:rsidP="00C45748">
      <w:pPr>
        <w:autoSpaceDE w:val="0"/>
        <w:autoSpaceDN w:val="0"/>
        <w:adjustRightInd w:val="0"/>
        <w:spacing w:after="0" w:line="240" w:lineRule="auto"/>
        <w:rPr>
          <w:rFonts w:eastAsia="Times New Roman" w:cs="Book Antiqua"/>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tblGrid>
      <w:tr w:rsidR="00FF338B" w:rsidRPr="009753F2" w:rsidTr="00FB1681">
        <w:tc>
          <w:tcPr>
            <w:tcW w:w="5949" w:type="dxa"/>
            <w:shd w:val="clear" w:color="auto" w:fill="0070C0"/>
          </w:tcPr>
          <w:p w:rsidR="00FF338B" w:rsidRPr="009753F2" w:rsidRDefault="00FF338B" w:rsidP="00FF338B">
            <w:pPr>
              <w:autoSpaceDE w:val="0"/>
              <w:autoSpaceDN w:val="0"/>
              <w:adjustRightInd w:val="0"/>
              <w:spacing w:after="0" w:line="240" w:lineRule="auto"/>
              <w:rPr>
                <w:rFonts w:eastAsia="Times New Roman" w:cs="Book Antiqua"/>
                <w:b/>
                <w:color w:val="000000"/>
                <w:sz w:val="28"/>
                <w:szCs w:val="28"/>
                <w:lang w:eastAsia="en-GB"/>
              </w:rPr>
            </w:pPr>
            <w:r>
              <w:rPr>
                <w:rFonts w:eastAsia="Times New Roman" w:cs="Book Antiqua"/>
                <w:b/>
                <w:color w:val="FFFFFF"/>
                <w:sz w:val="28"/>
                <w:szCs w:val="28"/>
                <w:lang w:eastAsia="en-GB"/>
              </w:rPr>
              <w:t>SUPER</w:t>
            </w:r>
            <w:r w:rsidR="00FB1681">
              <w:rPr>
                <w:rFonts w:eastAsia="Times New Roman" w:cs="Book Antiqua"/>
                <w:b/>
                <w:color w:val="FFFFFF"/>
                <w:sz w:val="28"/>
                <w:szCs w:val="28"/>
                <w:lang w:eastAsia="en-GB"/>
              </w:rPr>
              <w:t>IOR</w:t>
            </w:r>
            <w:r>
              <w:rPr>
                <w:rFonts w:eastAsia="Times New Roman" w:cs="Book Antiqua"/>
                <w:b/>
                <w:color w:val="FFFFFF"/>
                <w:sz w:val="28"/>
                <w:szCs w:val="28"/>
                <w:lang w:eastAsia="en-GB"/>
              </w:rPr>
              <w:t xml:space="preserve"> THERMAL</w:t>
            </w:r>
            <w:r w:rsidR="00FB1681">
              <w:rPr>
                <w:rFonts w:eastAsia="Times New Roman" w:cs="Book Antiqua"/>
                <w:b/>
                <w:color w:val="FFFFFF"/>
                <w:sz w:val="28"/>
                <w:szCs w:val="28"/>
                <w:lang w:eastAsia="en-GB"/>
              </w:rPr>
              <w:t xml:space="preserve"> AND OXIDATIVE</w:t>
            </w:r>
            <w:r>
              <w:rPr>
                <w:rFonts w:eastAsia="Times New Roman" w:cs="Book Antiqua"/>
                <w:b/>
                <w:color w:val="FFFFFF"/>
                <w:sz w:val="28"/>
                <w:szCs w:val="28"/>
                <w:lang w:eastAsia="en-GB"/>
              </w:rPr>
              <w:t xml:space="preserve"> STABILITY</w:t>
            </w:r>
          </w:p>
        </w:tc>
      </w:tr>
    </w:tbl>
    <w:p w:rsidR="00FF338B" w:rsidRPr="00390305" w:rsidRDefault="00FF338B" w:rsidP="00FF338B">
      <w:pPr>
        <w:autoSpaceDE w:val="0"/>
        <w:autoSpaceDN w:val="0"/>
        <w:adjustRightInd w:val="0"/>
        <w:spacing w:after="0" w:line="240" w:lineRule="auto"/>
        <w:rPr>
          <w:rFonts w:eastAsia="Times New Roman" w:cs="Book Antiqua"/>
          <w:lang w:eastAsia="en-GB"/>
        </w:rPr>
      </w:pPr>
      <w:r w:rsidRPr="00390305">
        <w:rPr>
          <w:rFonts w:eastAsia="Times New Roman" w:cs="Book Antiqua"/>
          <w:lang w:eastAsia="en-GB"/>
        </w:rPr>
        <w:t xml:space="preserve">The superior </w:t>
      </w:r>
      <w:r w:rsidR="00383054">
        <w:rPr>
          <w:rFonts w:eastAsia="Times New Roman" w:cs="Book Antiqua"/>
          <w:lang w:eastAsia="en-GB"/>
        </w:rPr>
        <w:t xml:space="preserve">thermal and </w:t>
      </w:r>
      <w:r w:rsidRPr="00390305">
        <w:rPr>
          <w:rFonts w:eastAsia="Times New Roman" w:cs="Book Antiqua"/>
          <w:lang w:eastAsia="en-GB"/>
        </w:rPr>
        <w:t xml:space="preserve">oxidative stability of THERMALTRANS FG enables the fluid to operate at higher temperatures for extended periods without breaking down to form the by-products of oxidation such as compound deposits and varnishes </w:t>
      </w:r>
      <w:r w:rsidR="00FB1681">
        <w:rPr>
          <w:rFonts w:eastAsia="Times New Roman" w:cs="Book Antiqua"/>
          <w:lang w:eastAsia="en-GB"/>
        </w:rPr>
        <w:t>which</w:t>
      </w:r>
      <w:r w:rsidRPr="00390305">
        <w:rPr>
          <w:rFonts w:eastAsia="Times New Roman" w:cs="Book Antiqua"/>
          <w:lang w:eastAsia="en-GB"/>
        </w:rPr>
        <w:t xml:space="preserve"> reduce system safety and efficiency and necessitate costly premature fluid replacement</w:t>
      </w:r>
      <w:r w:rsidR="00DA21FA" w:rsidRPr="00390305">
        <w:rPr>
          <w:rFonts w:eastAsia="Times New Roman" w:cs="Book Antiqua"/>
          <w:lang w:eastAsia="en-GB"/>
        </w:rPr>
        <w:t>.</w:t>
      </w:r>
    </w:p>
    <w:p w:rsidR="00FF338B" w:rsidRPr="009753F2" w:rsidRDefault="00FF338B" w:rsidP="00C45748">
      <w:pPr>
        <w:autoSpaceDE w:val="0"/>
        <w:autoSpaceDN w:val="0"/>
        <w:adjustRightInd w:val="0"/>
        <w:spacing w:after="0" w:line="240" w:lineRule="auto"/>
        <w:rPr>
          <w:rFonts w:eastAsia="Times New Roman" w:cs="Book Antiqua"/>
          <w:color w:val="000000"/>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tblGrid>
      <w:tr w:rsidR="00C45748" w:rsidRPr="009753F2" w:rsidTr="00982D59">
        <w:tc>
          <w:tcPr>
            <w:tcW w:w="5949" w:type="dxa"/>
            <w:shd w:val="clear" w:color="auto" w:fill="0070C0"/>
          </w:tcPr>
          <w:p w:rsidR="00C45748" w:rsidRPr="009753F2" w:rsidRDefault="00C45748" w:rsidP="00C60481">
            <w:pPr>
              <w:autoSpaceDE w:val="0"/>
              <w:autoSpaceDN w:val="0"/>
              <w:adjustRightInd w:val="0"/>
              <w:spacing w:after="0" w:line="240" w:lineRule="auto"/>
              <w:rPr>
                <w:rFonts w:eastAsia="Times New Roman" w:cs="Book Antiqua"/>
                <w:b/>
                <w:color w:val="000000"/>
                <w:sz w:val="28"/>
                <w:szCs w:val="28"/>
                <w:lang w:eastAsia="en-GB"/>
              </w:rPr>
            </w:pPr>
            <w:r w:rsidRPr="009753F2">
              <w:rPr>
                <w:rFonts w:eastAsia="Times New Roman" w:cs="Book Antiqua"/>
                <w:b/>
                <w:color w:val="FFFFFF"/>
                <w:sz w:val="28"/>
                <w:szCs w:val="28"/>
                <w:lang w:eastAsia="en-GB"/>
              </w:rPr>
              <w:t>APPLICATIONS</w:t>
            </w:r>
          </w:p>
        </w:tc>
      </w:tr>
    </w:tbl>
    <w:p w:rsidR="00513CA2" w:rsidRDefault="00B21270" w:rsidP="00B21270">
      <w:pPr>
        <w:autoSpaceDE w:val="0"/>
        <w:autoSpaceDN w:val="0"/>
        <w:adjustRightInd w:val="0"/>
        <w:spacing w:after="0" w:line="240" w:lineRule="auto"/>
        <w:rPr>
          <w:rFonts w:cs="Calibri"/>
          <w:color w:val="272526"/>
        </w:rPr>
      </w:pPr>
      <w:r w:rsidRPr="00B21270">
        <w:rPr>
          <w:rFonts w:eastAsia="Times New Roman" w:cs="Calibri"/>
          <w:sz w:val="24"/>
          <w:szCs w:val="24"/>
          <w:lang w:eastAsia="en-GB"/>
        </w:rPr>
        <w:t>OIL-UK THERMALTRANS FG</w:t>
      </w:r>
      <w:r w:rsidRPr="00B21270">
        <w:rPr>
          <w:rFonts w:cs="Calibri"/>
          <w:color w:val="272526"/>
          <w:sz w:val="24"/>
          <w:szCs w:val="24"/>
        </w:rPr>
        <w:t xml:space="preserve"> is </w:t>
      </w:r>
      <w:r w:rsidR="00DA21FA">
        <w:rPr>
          <w:rFonts w:cs="Calibri"/>
          <w:color w:val="272526"/>
          <w:sz w:val="24"/>
          <w:szCs w:val="24"/>
        </w:rPr>
        <w:t>recommended for use in</w:t>
      </w:r>
      <w:r w:rsidR="00A94886">
        <w:rPr>
          <w:rFonts w:cs="Calibri"/>
          <w:color w:val="272526"/>
          <w:sz w:val="24"/>
          <w:szCs w:val="24"/>
        </w:rPr>
        <w:t xml:space="preserve"> closed and</w:t>
      </w:r>
      <w:r w:rsidR="00DA21FA">
        <w:rPr>
          <w:rFonts w:cs="Calibri"/>
          <w:color w:val="272526"/>
          <w:sz w:val="24"/>
          <w:szCs w:val="24"/>
        </w:rPr>
        <w:t xml:space="preserve"> non-pressurised</w:t>
      </w:r>
      <w:r w:rsidR="00A94886">
        <w:rPr>
          <w:rFonts w:cs="Calibri"/>
          <w:color w:val="272526"/>
          <w:sz w:val="24"/>
          <w:szCs w:val="24"/>
        </w:rPr>
        <w:t xml:space="preserve"> heat transfer systems</w:t>
      </w:r>
      <w:r w:rsidR="00DA21FA" w:rsidRPr="00390305">
        <w:rPr>
          <w:rFonts w:cs="Calibri"/>
          <w:color w:val="272526"/>
        </w:rPr>
        <w:t xml:space="preserve"> </w:t>
      </w:r>
      <w:r w:rsidR="00C63E3D">
        <w:rPr>
          <w:rFonts w:cs="Calibri"/>
          <w:color w:val="272526"/>
        </w:rPr>
        <w:t>operating within a</w:t>
      </w:r>
      <w:r w:rsidR="00C5563D">
        <w:rPr>
          <w:rFonts w:cs="Calibri"/>
          <w:color w:val="272526"/>
        </w:rPr>
        <w:t xml:space="preserve"> bulk oil temperature range of approximately </w:t>
      </w:r>
      <w:r w:rsidR="00553A1C" w:rsidRPr="00390305">
        <w:rPr>
          <w:rFonts w:cs="Calibri"/>
          <w:color w:val="272526"/>
        </w:rPr>
        <w:t>-1</w:t>
      </w:r>
      <w:r w:rsidR="00B32510">
        <w:rPr>
          <w:rFonts w:cs="Calibri"/>
          <w:color w:val="272526"/>
        </w:rPr>
        <w:t>5</w:t>
      </w:r>
      <w:r w:rsidR="00553A1C" w:rsidRPr="00390305">
        <w:rPr>
          <w:rFonts w:cs="Calibri"/>
          <w:color w:val="272526"/>
        </w:rPr>
        <w:t>°C to</w:t>
      </w:r>
      <w:r w:rsidRPr="00390305">
        <w:rPr>
          <w:rFonts w:cs="Calibri"/>
          <w:color w:val="272526"/>
        </w:rPr>
        <w:t xml:space="preserve"> </w:t>
      </w:r>
      <w:r w:rsidR="00DA21FA" w:rsidRPr="00390305">
        <w:rPr>
          <w:rFonts w:cs="Calibri"/>
          <w:color w:val="272526"/>
        </w:rPr>
        <w:t>3</w:t>
      </w:r>
      <w:r w:rsidR="00B32510">
        <w:rPr>
          <w:rFonts w:cs="Calibri"/>
          <w:color w:val="272526"/>
        </w:rPr>
        <w:t>4</w:t>
      </w:r>
      <w:r w:rsidR="00DA21FA" w:rsidRPr="00390305">
        <w:rPr>
          <w:rFonts w:cs="Calibri"/>
          <w:color w:val="272526"/>
        </w:rPr>
        <w:t>0°C</w:t>
      </w:r>
      <w:r w:rsidR="004D528E">
        <w:rPr>
          <w:rFonts w:cs="Calibri"/>
          <w:color w:val="272526"/>
        </w:rPr>
        <w:t xml:space="preserve"> max.</w:t>
      </w:r>
      <w:r w:rsidR="00513CA2">
        <w:rPr>
          <w:rFonts w:cs="Calibri"/>
          <w:color w:val="272526"/>
        </w:rPr>
        <w:t xml:space="preserve">, </w:t>
      </w:r>
      <w:r w:rsidR="00133C43">
        <w:rPr>
          <w:rFonts w:cs="Calibri"/>
          <w:color w:val="272526"/>
        </w:rPr>
        <w:t>and</w:t>
      </w:r>
      <w:r w:rsidR="004D528E">
        <w:rPr>
          <w:rFonts w:cs="Calibri"/>
          <w:color w:val="272526"/>
        </w:rPr>
        <w:t xml:space="preserve"> </w:t>
      </w:r>
      <w:r w:rsidR="008B0104">
        <w:rPr>
          <w:rFonts w:cs="Calibri"/>
          <w:color w:val="272526"/>
        </w:rPr>
        <w:t xml:space="preserve">where the </w:t>
      </w:r>
      <w:r w:rsidR="00C5563D">
        <w:rPr>
          <w:rFonts w:cs="Calibri"/>
          <w:color w:val="272526"/>
        </w:rPr>
        <w:t xml:space="preserve">surface temperature of the heating elements (oil film temperature) </w:t>
      </w:r>
      <w:r w:rsidR="004D528E">
        <w:rPr>
          <w:rFonts w:cs="Calibri"/>
          <w:color w:val="272526"/>
        </w:rPr>
        <w:t xml:space="preserve">does </w:t>
      </w:r>
      <w:r w:rsidR="00C5563D">
        <w:rPr>
          <w:rFonts w:cs="Calibri"/>
          <w:color w:val="272526"/>
        </w:rPr>
        <w:t>not exceed 3</w:t>
      </w:r>
      <w:r w:rsidR="00B32510">
        <w:rPr>
          <w:rFonts w:cs="Calibri"/>
          <w:color w:val="272526"/>
        </w:rPr>
        <w:t>60</w:t>
      </w:r>
      <w:bookmarkStart w:id="0" w:name="_GoBack"/>
      <w:bookmarkEnd w:id="0"/>
      <w:r w:rsidR="00C5563D">
        <w:rPr>
          <w:rFonts w:cs="Calibri"/>
          <w:color w:val="272526"/>
        </w:rPr>
        <w:t>°C</w:t>
      </w:r>
      <w:r w:rsidR="00DA21FA" w:rsidRPr="00390305">
        <w:rPr>
          <w:rFonts w:cs="Calibri"/>
          <w:color w:val="272526"/>
        </w:rPr>
        <w:t xml:space="preserve">. </w:t>
      </w:r>
      <w:r w:rsidR="00513CA2">
        <w:rPr>
          <w:rFonts w:cs="Calibri"/>
          <w:color w:val="272526"/>
        </w:rPr>
        <w:t xml:space="preserve"> </w:t>
      </w:r>
    </w:p>
    <w:p w:rsidR="00DA21FA" w:rsidRPr="00390305" w:rsidRDefault="00513CA2" w:rsidP="00B21270">
      <w:pPr>
        <w:autoSpaceDE w:val="0"/>
        <w:autoSpaceDN w:val="0"/>
        <w:adjustRightInd w:val="0"/>
        <w:spacing w:after="0" w:line="240" w:lineRule="auto"/>
        <w:rPr>
          <w:rFonts w:cs="Calibri"/>
          <w:color w:val="272526"/>
        </w:rPr>
      </w:pPr>
      <w:r>
        <w:rPr>
          <w:rFonts w:cs="Calibri"/>
          <w:color w:val="272526"/>
        </w:rPr>
        <w:t>Th</w:t>
      </w:r>
      <w:r w:rsidR="00060605">
        <w:rPr>
          <w:rFonts w:cs="Calibri"/>
          <w:color w:val="272526"/>
        </w:rPr>
        <w:t xml:space="preserve">is product </w:t>
      </w:r>
      <w:r>
        <w:rPr>
          <w:rFonts w:cs="Calibri"/>
          <w:color w:val="272526"/>
        </w:rPr>
        <w:t xml:space="preserve">is suitable for </w:t>
      </w:r>
      <w:r w:rsidR="00133C43">
        <w:rPr>
          <w:rFonts w:cs="Calibri"/>
          <w:color w:val="272526"/>
        </w:rPr>
        <w:t xml:space="preserve">all thermal system applications where a </w:t>
      </w:r>
      <w:r>
        <w:rPr>
          <w:rFonts w:cs="Calibri"/>
          <w:color w:val="272526"/>
        </w:rPr>
        <w:t xml:space="preserve">heat transfer fluid is required that provides </w:t>
      </w:r>
      <w:r w:rsidR="00133C43">
        <w:rPr>
          <w:rFonts w:cs="Calibri"/>
          <w:color w:val="272526"/>
        </w:rPr>
        <w:t>outstanding protection from thermal and oxidative breakdown.</w:t>
      </w:r>
      <w:r>
        <w:rPr>
          <w:rFonts w:cs="Calibri"/>
          <w:color w:val="272526"/>
        </w:rPr>
        <w:t xml:space="preserve"> </w:t>
      </w:r>
      <w:r w:rsidR="00133C43" w:rsidRPr="00390305">
        <w:rPr>
          <w:rFonts w:eastAsia="Times New Roman" w:cs="Book Antiqua"/>
          <w:lang w:eastAsia="en-GB"/>
        </w:rPr>
        <w:t xml:space="preserve">THERMALTRANS FG </w:t>
      </w:r>
      <w:r w:rsidR="00FB1681">
        <w:rPr>
          <w:rFonts w:eastAsia="Times New Roman" w:cs="Book Antiqua"/>
          <w:lang w:eastAsia="en-GB"/>
        </w:rPr>
        <w:t>is</w:t>
      </w:r>
      <w:r w:rsidR="00C63E3D">
        <w:rPr>
          <w:rFonts w:eastAsia="Times New Roman" w:cs="Book Antiqua"/>
          <w:lang w:eastAsia="en-GB"/>
        </w:rPr>
        <w:t xml:space="preserve"> suitable for pharmaceutical applications and food processing applications such</w:t>
      </w:r>
      <w:r w:rsidR="00DA21FA" w:rsidRPr="00390305">
        <w:rPr>
          <w:rFonts w:cs="Calibri"/>
          <w:color w:val="272526"/>
        </w:rPr>
        <w:t xml:space="preserve"> </w:t>
      </w:r>
      <w:r w:rsidR="00C63E3D">
        <w:rPr>
          <w:rFonts w:cs="Calibri"/>
          <w:color w:val="272526"/>
        </w:rPr>
        <w:t>as</w:t>
      </w:r>
      <w:r w:rsidR="00DA21FA" w:rsidRPr="00390305">
        <w:rPr>
          <w:rFonts w:cs="Calibri"/>
          <w:color w:val="272526"/>
        </w:rPr>
        <w:t xml:space="preserve"> central cooking facilities, drying, edible oil </w:t>
      </w:r>
      <w:r w:rsidR="00553A1C" w:rsidRPr="00390305">
        <w:rPr>
          <w:rFonts w:cs="Calibri"/>
          <w:color w:val="272526"/>
        </w:rPr>
        <w:t>deodorising</w:t>
      </w:r>
      <w:r w:rsidR="00DA21FA" w:rsidRPr="00390305">
        <w:rPr>
          <w:rFonts w:cs="Calibri"/>
          <w:color w:val="272526"/>
        </w:rPr>
        <w:t xml:space="preserve"> and the heating of </w:t>
      </w:r>
      <w:r w:rsidR="00553A1C" w:rsidRPr="00390305">
        <w:rPr>
          <w:rFonts w:cs="Calibri"/>
          <w:color w:val="272526"/>
        </w:rPr>
        <w:t>deep frying oils.</w:t>
      </w:r>
      <w:r w:rsidR="00FB1681">
        <w:rPr>
          <w:rFonts w:cs="Calibri"/>
          <w:color w:val="272526"/>
        </w:rPr>
        <w:t xml:space="preserve"> This product is also highly suitable for non-food environments and also for other food related applications such as the manufacture of plastic bottles, films and containers for the packaging of food products.</w:t>
      </w:r>
      <w:r w:rsidR="00381C4F">
        <w:rPr>
          <w:rFonts w:cs="Calibri"/>
          <w:color w:val="272526"/>
        </w:rPr>
        <w:t xml:space="preserve"> THERMALTRANS FG IS FULLY MISCABLE WITH WHITE MINERAL OIL AND STANDARD MINERAL OIL BASED HEAT TRANSFER FLUIDS.</w:t>
      </w:r>
    </w:p>
    <w:p w:rsidR="00231FC9" w:rsidRDefault="00231FC9" w:rsidP="00B21270">
      <w:pPr>
        <w:autoSpaceDE w:val="0"/>
        <w:autoSpaceDN w:val="0"/>
        <w:adjustRightInd w:val="0"/>
        <w:spacing w:after="0" w:line="240" w:lineRule="auto"/>
        <w:rPr>
          <w:rFonts w:cs="Calibri"/>
          <w:b/>
          <w:color w:val="0070C0"/>
        </w:rPr>
      </w:pPr>
    </w:p>
    <w:p w:rsidR="002B5EB6" w:rsidRDefault="00390305" w:rsidP="00B21270">
      <w:pPr>
        <w:autoSpaceDE w:val="0"/>
        <w:autoSpaceDN w:val="0"/>
        <w:adjustRightInd w:val="0"/>
        <w:spacing w:after="0" w:line="240" w:lineRule="auto"/>
        <w:rPr>
          <w:rFonts w:cs="Calibri"/>
          <w:b/>
          <w:color w:val="0070C0"/>
        </w:rPr>
      </w:pPr>
      <w:r w:rsidRPr="00231FC9">
        <w:rPr>
          <w:rFonts w:cs="Calibri"/>
          <w:b/>
          <w:color w:val="0070C0"/>
        </w:rPr>
        <w:t>HOW DOES THE FLASH POINT AND THERMAL STABILITY OF THERMALTRANS FG COMPARE</w:t>
      </w:r>
      <w:r w:rsidR="00231FC9" w:rsidRPr="00231FC9">
        <w:rPr>
          <w:rFonts w:cs="Calibri"/>
          <w:b/>
          <w:color w:val="0070C0"/>
        </w:rPr>
        <w:t xml:space="preserve">? </w:t>
      </w:r>
    </w:p>
    <w:p w:rsidR="00390305" w:rsidRPr="00C93504" w:rsidRDefault="00231FC9" w:rsidP="00B21270">
      <w:pPr>
        <w:autoSpaceDE w:val="0"/>
        <w:autoSpaceDN w:val="0"/>
        <w:adjustRightInd w:val="0"/>
        <w:spacing w:after="0" w:line="240" w:lineRule="auto"/>
        <w:rPr>
          <w:rFonts w:cs="Calibri"/>
          <w:b/>
          <w:color w:val="0070C0"/>
          <w:u w:val="single"/>
        </w:rPr>
      </w:pPr>
      <w:r w:rsidRPr="00C93504">
        <w:rPr>
          <w:rFonts w:cs="Calibri"/>
          <w:b/>
          <w:color w:val="0070C0"/>
          <w:u w:val="single"/>
        </w:rPr>
        <w:lastRenderedPageBreak/>
        <w:t>SEE NEXT PAGE</w:t>
      </w:r>
    </w:p>
    <w:p w:rsidR="008B2D93" w:rsidRDefault="008B2D93" w:rsidP="00C45748">
      <w:pPr>
        <w:autoSpaceDE w:val="0"/>
        <w:autoSpaceDN w:val="0"/>
        <w:adjustRightInd w:val="0"/>
        <w:spacing w:after="0" w:line="240" w:lineRule="auto"/>
        <w:rPr>
          <w:rFonts w:cs="Arial"/>
          <w:lang w:val="en"/>
        </w:rPr>
      </w:pPr>
    </w:p>
    <w:p w:rsidR="00390305" w:rsidRPr="00390305" w:rsidRDefault="00390305" w:rsidP="00C45748">
      <w:pPr>
        <w:autoSpaceDE w:val="0"/>
        <w:autoSpaceDN w:val="0"/>
        <w:adjustRightInd w:val="0"/>
        <w:spacing w:after="0" w:line="240" w:lineRule="auto"/>
        <w:rPr>
          <w:rFonts w:cs="Arial"/>
          <w:lang w:val="en"/>
        </w:rPr>
        <w:sectPr w:rsidR="00390305" w:rsidRPr="00390305" w:rsidSect="008B2D93">
          <w:headerReference w:type="even" r:id="rId7"/>
          <w:headerReference w:type="default" r:id="rId8"/>
          <w:footerReference w:type="even" r:id="rId9"/>
          <w:footerReference w:type="default" r:id="rId10"/>
          <w:headerReference w:type="first" r:id="rId11"/>
          <w:footerReference w:type="first" r:id="rId12"/>
          <w:type w:val="continuous"/>
          <w:pgSz w:w="11906" w:h="16838"/>
          <w:pgMar w:top="1440" w:right="1134" w:bottom="284" w:left="1134" w:header="709" w:footer="709" w:gutter="0"/>
          <w:pgBorders w:offsetFrom="page">
            <w:top w:val="single" w:sz="18" w:space="24" w:color="000080"/>
            <w:left w:val="single" w:sz="18" w:space="24" w:color="000080"/>
            <w:bottom w:val="single" w:sz="18" w:space="24" w:color="000080"/>
            <w:right w:val="single" w:sz="18" w:space="24" w:color="000080"/>
          </w:pgBorders>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8B2D93" w:rsidRPr="00F15EF0" w:rsidTr="007B2157">
        <w:tc>
          <w:tcPr>
            <w:tcW w:w="10598" w:type="dxa"/>
            <w:shd w:val="clear" w:color="auto" w:fill="0070C0"/>
          </w:tcPr>
          <w:p w:rsidR="008B2D93" w:rsidRPr="00F15EF0" w:rsidRDefault="007578AA" w:rsidP="007578AA">
            <w:pPr>
              <w:autoSpaceDE w:val="0"/>
              <w:autoSpaceDN w:val="0"/>
              <w:adjustRightInd w:val="0"/>
              <w:spacing w:after="0" w:line="240" w:lineRule="auto"/>
              <w:rPr>
                <w:rFonts w:eastAsia="Times New Roman" w:cs="Book Antiqua"/>
                <w:b/>
                <w:color w:val="000000"/>
                <w:sz w:val="20"/>
                <w:szCs w:val="20"/>
                <w:lang w:eastAsia="en-GB"/>
              </w:rPr>
            </w:pPr>
            <w:r>
              <w:rPr>
                <w:rFonts w:eastAsia="Times New Roman" w:cs="Book Antiqua"/>
                <w:b/>
                <w:color w:val="FFFFFF"/>
                <w:sz w:val="28"/>
                <w:szCs w:val="28"/>
                <w:lang w:eastAsia="en-GB"/>
              </w:rPr>
              <w:lastRenderedPageBreak/>
              <w:t>HOW DOES THE FLASH POINT OF THERMALTRANS FG COMPARE WITH OTHER FOOD GRADE THERMAL FLUIDS?</w:t>
            </w:r>
          </w:p>
        </w:tc>
      </w:tr>
    </w:tbl>
    <w:p w:rsidR="008B2D93" w:rsidRDefault="008B2D93" w:rsidP="00C45748">
      <w:pPr>
        <w:autoSpaceDE w:val="0"/>
        <w:autoSpaceDN w:val="0"/>
        <w:adjustRightInd w:val="0"/>
        <w:spacing w:after="0" w:line="240" w:lineRule="auto"/>
        <w:rPr>
          <w:rFonts w:cs="Arial"/>
          <w:sz w:val="24"/>
          <w:szCs w:val="24"/>
          <w:lang w:val="en"/>
        </w:rPr>
      </w:pPr>
    </w:p>
    <w:p w:rsidR="008B2D93" w:rsidRDefault="008A06C7" w:rsidP="00C45748">
      <w:pPr>
        <w:autoSpaceDE w:val="0"/>
        <w:autoSpaceDN w:val="0"/>
        <w:adjustRightInd w:val="0"/>
        <w:spacing w:after="0" w:line="240" w:lineRule="auto"/>
        <w:rPr>
          <w:rFonts w:cs="Arial"/>
          <w:sz w:val="24"/>
          <w:szCs w:val="24"/>
          <w:lang w:val="en"/>
        </w:rPr>
      </w:pPr>
      <w:r>
        <w:rPr>
          <w:rFonts w:cs="Arial"/>
          <w:noProof/>
          <w:sz w:val="24"/>
          <w:szCs w:val="24"/>
          <w:lang w:eastAsia="en-GB"/>
        </w:rPr>
        <w:drawing>
          <wp:inline distT="0" distB="0" distL="0" distR="0">
            <wp:extent cx="6086475" cy="3638550"/>
            <wp:effectExtent l="0" t="0" r="9525"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7578AA">
        <w:rPr>
          <w:rFonts w:cs="Arial"/>
          <w:sz w:val="24"/>
          <w:szCs w:val="24"/>
          <w:lang w:val="en"/>
        </w:rPr>
        <w:t xml:space="preserve">   </w:t>
      </w:r>
      <w:r w:rsidR="00127E11">
        <w:rPr>
          <w:rFonts w:cs="Arial"/>
          <w:sz w:val="24"/>
          <w:szCs w:val="24"/>
          <w:lang w:val="en"/>
        </w:rPr>
        <w:t xml:space="preserve">  </w:t>
      </w:r>
      <w:r w:rsidR="007578AA">
        <w:rPr>
          <w:rFonts w:cs="Arial"/>
          <w:sz w:val="24"/>
          <w:szCs w:val="24"/>
          <w:lang w:val="en"/>
        </w:rPr>
        <w:t xml:space="preserve">   </w:t>
      </w:r>
    </w:p>
    <w:p w:rsidR="008B2D93" w:rsidRDefault="008B2D93" w:rsidP="00C45748">
      <w:pPr>
        <w:autoSpaceDE w:val="0"/>
        <w:autoSpaceDN w:val="0"/>
        <w:adjustRightInd w:val="0"/>
        <w:spacing w:after="0" w:line="240" w:lineRule="auto"/>
        <w:rPr>
          <w:rFonts w:cs="Arial"/>
          <w:sz w:val="24"/>
          <w:szCs w:val="24"/>
          <w:lang w:val="en"/>
        </w:rPr>
      </w:pPr>
    </w:p>
    <w:p w:rsidR="00E5628F" w:rsidRDefault="00E5628F" w:rsidP="004A1DCB">
      <w:pPr>
        <w:pStyle w:val="ListParagraph"/>
        <w:numPr>
          <w:ilvl w:val="0"/>
          <w:numId w:val="16"/>
        </w:numPr>
        <w:autoSpaceDE w:val="0"/>
        <w:autoSpaceDN w:val="0"/>
        <w:adjustRightInd w:val="0"/>
        <w:spacing w:after="0" w:line="240" w:lineRule="auto"/>
        <w:rPr>
          <w:rFonts w:cs="Arial"/>
          <w:b/>
          <w:sz w:val="24"/>
          <w:szCs w:val="24"/>
          <w:lang w:val="en"/>
        </w:rPr>
      </w:pPr>
      <w:r>
        <w:rPr>
          <w:rFonts w:cs="Arial"/>
          <w:b/>
          <w:sz w:val="24"/>
          <w:szCs w:val="24"/>
          <w:lang w:val="en"/>
        </w:rPr>
        <w:t>Oil UK Thermaltrans FG has a higher COC Flash Point than other leading Food Grade thermal fluids</w:t>
      </w:r>
    </w:p>
    <w:p w:rsidR="004A1DCB" w:rsidRPr="00155F2B" w:rsidRDefault="00E5628F" w:rsidP="004A1DCB">
      <w:pPr>
        <w:pStyle w:val="ListParagraph"/>
        <w:numPr>
          <w:ilvl w:val="0"/>
          <w:numId w:val="16"/>
        </w:numPr>
        <w:autoSpaceDE w:val="0"/>
        <w:autoSpaceDN w:val="0"/>
        <w:adjustRightInd w:val="0"/>
        <w:spacing w:after="0" w:line="240" w:lineRule="auto"/>
        <w:rPr>
          <w:rFonts w:cs="Arial"/>
          <w:b/>
          <w:sz w:val="24"/>
          <w:szCs w:val="24"/>
          <w:lang w:val="en"/>
        </w:rPr>
      </w:pPr>
      <w:r>
        <w:rPr>
          <w:rFonts w:cs="Arial"/>
          <w:b/>
          <w:sz w:val="24"/>
          <w:szCs w:val="24"/>
          <w:lang w:val="en"/>
        </w:rPr>
        <w:t>Thermaltrans FG also has a higher COC Flash Point than leading mineral oil based thermal fluids such as Shell S2 and BP Transcal N</w:t>
      </w:r>
      <w:r w:rsidR="004A1DCB" w:rsidRPr="00155F2B">
        <w:rPr>
          <w:rFonts w:cs="Arial"/>
          <w:b/>
          <w:sz w:val="24"/>
          <w:szCs w:val="24"/>
          <w:lang w:val="en"/>
        </w:rPr>
        <w:t>.</w:t>
      </w:r>
    </w:p>
    <w:p w:rsidR="002442BB" w:rsidRPr="009753F2" w:rsidRDefault="004E20F1" w:rsidP="00C45748">
      <w:pPr>
        <w:autoSpaceDE w:val="0"/>
        <w:autoSpaceDN w:val="0"/>
        <w:adjustRightInd w:val="0"/>
        <w:spacing w:after="0" w:line="240" w:lineRule="auto"/>
        <w:rPr>
          <w:rFonts w:eastAsia="Times New Roman" w:cs="Book Antiqua"/>
          <w:b/>
          <w:color w:val="000000"/>
          <w:sz w:val="24"/>
          <w:szCs w:val="24"/>
          <w:lang w:eastAsia="en-GB"/>
        </w:rPr>
      </w:pPr>
      <w:r w:rsidRPr="009753F2">
        <w:rPr>
          <w:rFonts w:cs="Arial"/>
          <w:sz w:val="24"/>
          <w:szCs w:val="24"/>
          <w:lang w:val="en"/>
        </w:rPr>
        <w:lastRenderedPageBreak/>
        <w:t>.</w:t>
      </w:r>
    </w:p>
    <w:p w:rsidR="00D93067" w:rsidRDefault="00D93067" w:rsidP="00C60481">
      <w:pPr>
        <w:autoSpaceDE w:val="0"/>
        <w:autoSpaceDN w:val="0"/>
        <w:adjustRightInd w:val="0"/>
        <w:spacing w:after="0" w:line="240" w:lineRule="auto"/>
        <w:rPr>
          <w:rFonts w:eastAsia="Times New Roman" w:cs="Book Antiqua"/>
          <w:b/>
          <w:color w:val="FFFFFF"/>
          <w:sz w:val="28"/>
          <w:szCs w:val="28"/>
          <w:lang w:eastAsia="en-GB"/>
        </w:rPr>
        <w:sectPr w:rsidR="00D93067" w:rsidSect="008B2D93">
          <w:type w:val="continuous"/>
          <w:pgSz w:w="11906" w:h="16838"/>
          <w:pgMar w:top="1440" w:right="1134" w:bottom="284" w:left="1134" w:header="709" w:footer="709" w:gutter="0"/>
          <w:pgBorders w:offsetFrom="page">
            <w:top w:val="single" w:sz="18" w:space="24" w:color="000080"/>
            <w:left w:val="single" w:sz="18" w:space="24" w:color="000080"/>
            <w:bottom w:val="single" w:sz="18" w:space="24" w:color="000080"/>
            <w:right w:val="single" w:sz="18" w:space="24" w:color="000080"/>
          </w:pgBorders>
          <w:cols w:space="708"/>
          <w:docGrid w:linePitch="360"/>
        </w:sectPr>
      </w:pPr>
    </w:p>
    <w:p w:rsidR="008B2D93" w:rsidRDefault="008B2D93" w:rsidP="00C60481">
      <w:pPr>
        <w:autoSpaceDE w:val="0"/>
        <w:autoSpaceDN w:val="0"/>
        <w:adjustRightInd w:val="0"/>
        <w:spacing w:after="0" w:line="240" w:lineRule="auto"/>
        <w:rPr>
          <w:rFonts w:eastAsia="Times New Roman" w:cs="Book Antiqua"/>
          <w:b/>
          <w:color w:val="FFFFFF"/>
          <w:sz w:val="28"/>
          <w:szCs w:val="28"/>
          <w:lang w:eastAsia="en-GB"/>
        </w:rPr>
        <w:sectPr w:rsidR="008B2D93" w:rsidSect="002537D2">
          <w:type w:val="continuous"/>
          <w:pgSz w:w="11906" w:h="16838"/>
          <w:pgMar w:top="1440" w:right="1134" w:bottom="284" w:left="1134" w:header="709" w:footer="709" w:gutter="0"/>
          <w:pgBorders w:offsetFrom="page">
            <w:top w:val="single" w:sz="18" w:space="24" w:color="000080"/>
            <w:left w:val="single" w:sz="18" w:space="24" w:color="000080"/>
            <w:bottom w:val="single" w:sz="18" w:space="24" w:color="000080"/>
            <w:right w:val="single" w:sz="18" w:space="24" w:color="000080"/>
          </w:pgBorders>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C45748" w:rsidRPr="009753F2" w:rsidTr="00C60481">
        <w:tc>
          <w:tcPr>
            <w:tcW w:w="9854" w:type="dxa"/>
            <w:shd w:val="clear" w:color="auto" w:fill="0070C0"/>
          </w:tcPr>
          <w:p w:rsidR="00C45748" w:rsidRPr="009753F2" w:rsidRDefault="005B1BFF" w:rsidP="005B1BFF">
            <w:pPr>
              <w:autoSpaceDE w:val="0"/>
              <w:autoSpaceDN w:val="0"/>
              <w:adjustRightInd w:val="0"/>
              <w:spacing w:after="0" w:line="240" w:lineRule="auto"/>
              <w:rPr>
                <w:rFonts w:eastAsia="Times New Roman" w:cs="Book Antiqua"/>
                <w:b/>
                <w:color w:val="000000"/>
                <w:sz w:val="28"/>
                <w:szCs w:val="28"/>
                <w:lang w:eastAsia="en-GB"/>
              </w:rPr>
            </w:pPr>
            <w:r>
              <w:rPr>
                <w:rFonts w:eastAsia="Times New Roman" w:cs="Book Antiqua"/>
                <w:b/>
                <w:color w:val="FFFFFF"/>
                <w:sz w:val="28"/>
                <w:szCs w:val="28"/>
                <w:lang w:eastAsia="en-GB"/>
              </w:rPr>
              <w:lastRenderedPageBreak/>
              <w:t>COMPARISON OF VOLATILITY BETWEEN THERMALTRANS FG AND STANDARD MINERAL OIL BASED HEAT TRANSFER FLUID</w:t>
            </w:r>
          </w:p>
        </w:tc>
      </w:tr>
    </w:tbl>
    <w:p w:rsidR="004E20F1" w:rsidRDefault="004E20F1" w:rsidP="004E20F1">
      <w:pPr>
        <w:autoSpaceDE w:val="0"/>
        <w:autoSpaceDN w:val="0"/>
        <w:adjustRightInd w:val="0"/>
        <w:spacing w:after="240" w:line="240" w:lineRule="auto"/>
        <w:ind w:left="720"/>
        <w:rPr>
          <w:rFonts w:eastAsia="Times New Roman" w:cs="Book Antiqua"/>
          <w:b/>
          <w:color w:val="000000"/>
          <w:sz w:val="24"/>
          <w:szCs w:val="24"/>
          <w:lang w:eastAsia="en-GB"/>
        </w:rPr>
      </w:pPr>
    </w:p>
    <w:p w:rsidR="00155F2B" w:rsidRPr="009753F2" w:rsidRDefault="00155F2B" w:rsidP="004E20F1">
      <w:pPr>
        <w:autoSpaceDE w:val="0"/>
        <w:autoSpaceDN w:val="0"/>
        <w:adjustRightInd w:val="0"/>
        <w:spacing w:after="240" w:line="240" w:lineRule="auto"/>
        <w:ind w:left="720"/>
        <w:rPr>
          <w:rFonts w:eastAsia="Times New Roman" w:cs="Book Antiqua"/>
          <w:b/>
          <w:color w:val="000000"/>
          <w:sz w:val="24"/>
          <w:szCs w:val="24"/>
          <w:lang w:eastAsia="en-GB"/>
        </w:rPr>
      </w:pPr>
      <w:r>
        <w:rPr>
          <w:rFonts w:eastAsia="Times New Roman" w:cs="Book Antiqua"/>
          <w:b/>
          <w:noProof/>
          <w:color w:val="000000"/>
          <w:sz w:val="24"/>
          <w:szCs w:val="24"/>
          <w:lang w:eastAsia="en-GB"/>
        </w:rPr>
        <w:drawing>
          <wp:inline distT="0" distB="0" distL="0" distR="0">
            <wp:extent cx="5505450" cy="32004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E20F1" w:rsidRPr="009753F2" w:rsidRDefault="004E20F1" w:rsidP="004E20F1">
      <w:pPr>
        <w:numPr>
          <w:ilvl w:val="0"/>
          <w:numId w:val="15"/>
        </w:numPr>
        <w:autoSpaceDE w:val="0"/>
        <w:autoSpaceDN w:val="0"/>
        <w:adjustRightInd w:val="0"/>
        <w:spacing w:after="240" w:line="240" w:lineRule="auto"/>
        <w:rPr>
          <w:rFonts w:eastAsia="Times New Roman" w:cs="Book Antiqua"/>
          <w:b/>
          <w:color w:val="000000"/>
          <w:sz w:val="24"/>
          <w:szCs w:val="24"/>
          <w:lang w:eastAsia="en-GB"/>
        </w:rPr>
        <w:sectPr w:rsidR="004E20F1" w:rsidRPr="009753F2" w:rsidSect="002537D2">
          <w:type w:val="continuous"/>
          <w:pgSz w:w="11906" w:h="16838"/>
          <w:pgMar w:top="1440" w:right="1134" w:bottom="284" w:left="1134" w:header="709" w:footer="709" w:gutter="0"/>
          <w:pgBorders w:offsetFrom="page">
            <w:top w:val="single" w:sz="18" w:space="24" w:color="000080"/>
            <w:left w:val="single" w:sz="18" w:space="24" w:color="000080"/>
            <w:bottom w:val="single" w:sz="18" w:space="24" w:color="000080"/>
            <w:right w:val="single" w:sz="18" w:space="24" w:color="000080"/>
          </w:pgBorders>
          <w:cols w:space="708"/>
          <w:docGrid w:linePitch="360"/>
        </w:sectPr>
      </w:pPr>
    </w:p>
    <w:p w:rsidR="00D21177" w:rsidRDefault="00D21177" w:rsidP="005B1BFF">
      <w:pPr>
        <w:pStyle w:val="ListParagraph"/>
        <w:numPr>
          <w:ilvl w:val="0"/>
          <w:numId w:val="15"/>
        </w:numPr>
        <w:autoSpaceDE w:val="0"/>
        <w:autoSpaceDN w:val="0"/>
        <w:adjustRightInd w:val="0"/>
        <w:spacing w:after="240" w:line="240" w:lineRule="auto"/>
        <w:rPr>
          <w:rFonts w:eastAsia="Times New Roman" w:cs="Book Antiqua"/>
          <w:b/>
          <w:color w:val="000000"/>
          <w:sz w:val="24"/>
          <w:szCs w:val="24"/>
          <w:lang w:eastAsia="en-GB"/>
        </w:rPr>
      </w:pPr>
      <w:r>
        <w:rPr>
          <w:rFonts w:eastAsia="Times New Roman" w:cs="Book Antiqua"/>
          <w:b/>
          <w:color w:val="000000"/>
          <w:sz w:val="24"/>
          <w:szCs w:val="24"/>
          <w:lang w:eastAsia="en-GB"/>
        </w:rPr>
        <w:lastRenderedPageBreak/>
        <w:t xml:space="preserve">In the internationally adopted oil industry standard ASTM D 5800 Noak volatility test, Oil UK Thermaltrans FG is up to 800% more thermally </w:t>
      </w:r>
      <w:r>
        <w:rPr>
          <w:rFonts w:eastAsia="Times New Roman" w:cs="Book Antiqua"/>
          <w:b/>
          <w:color w:val="000000"/>
          <w:sz w:val="24"/>
          <w:szCs w:val="24"/>
          <w:lang w:eastAsia="en-GB"/>
        </w:rPr>
        <w:lastRenderedPageBreak/>
        <w:t xml:space="preserve">stable than standard mineral oil based heat transfer fluids </w:t>
      </w:r>
    </w:p>
    <w:p w:rsidR="00C93504" w:rsidRPr="00982D59" w:rsidRDefault="00982D59" w:rsidP="00C93504">
      <w:pPr>
        <w:autoSpaceDE w:val="0"/>
        <w:autoSpaceDN w:val="0"/>
        <w:adjustRightInd w:val="0"/>
        <w:spacing w:after="240" w:line="240" w:lineRule="auto"/>
        <w:rPr>
          <w:rFonts w:eastAsia="Times New Roman" w:cs="Book Antiqua"/>
          <w:b/>
          <w:color w:val="0070C0"/>
          <w:sz w:val="24"/>
          <w:szCs w:val="24"/>
          <w:lang w:eastAsia="en-GB"/>
        </w:rPr>
      </w:pPr>
      <w:r w:rsidRPr="00982D59">
        <w:rPr>
          <w:rFonts w:eastAsia="Times New Roman" w:cs="Book Antiqua"/>
          <w:b/>
          <w:color w:val="0070C0"/>
          <w:sz w:val="24"/>
          <w:szCs w:val="24"/>
          <w:lang w:eastAsia="en-GB"/>
        </w:rPr>
        <w:t>FEATURES AND BENEFITS – SEE NEXT PAGE</w:t>
      </w:r>
    </w:p>
    <w:p w:rsidR="00C93504" w:rsidRDefault="00C93504" w:rsidP="00C93504">
      <w:pPr>
        <w:autoSpaceDE w:val="0"/>
        <w:autoSpaceDN w:val="0"/>
        <w:adjustRightInd w:val="0"/>
        <w:spacing w:after="240" w:line="240" w:lineRule="auto"/>
        <w:rPr>
          <w:rFonts w:eastAsia="Times New Roman" w:cs="Book Antiqua"/>
          <w:b/>
          <w:color w:val="000000"/>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5"/>
      </w:tblGrid>
      <w:tr w:rsidR="00324A3B" w:rsidRPr="009753F2" w:rsidTr="00381C4F">
        <w:tc>
          <w:tcPr>
            <w:tcW w:w="4455" w:type="dxa"/>
            <w:shd w:val="clear" w:color="auto" w:fill="0070C0"/>
          </w:tcPr>
          <w:p w:rsidR="00324A3B" w:rsidRPr="009753F2" w:rsidRDefault="00324A3B" w:rsidP="007B2157">
            <w:pPr>
              <w:autoSpaceDE w:val="0"/>
              <w:autoSpaceDN w:val="0"/>
              <w:adjustRightInd w:val="0"/>
              <w:spacing w:after="0" w:line="240" w:lineRule="auto"/>
              <w:rPr>
                <w:rFonts w:eastAsia="Times New Roman" w:cs="Book Antiqua"/>
                <w:b/>
                <w:color w:val="000000"/>
                <w:sz w:val="28"/>
                <w:szCs w:val="28"/>
                <w:lang w:eastAsia="en-GB"/>
              </w:rPr>
            </w:pPr>
            <w:r w:rsidRPr="00324A3B">
              <w:rPr>
                <w:rFonts w:eastAsia="Times New Roman" w:cs="Book Antiqua"/>
                <w:b/>
                <w:color w:val="FFFFFF" w:themeColor="background1"/>
                <w:sz w:val="28"/>
                <w:szCs w:val="28"/>
                <w:lang w:eastAsia="en-GB"/>
              </w:rPr>
              <w:lastRenderedPageBreak/>
              <w:t>FEATURES AND BENEFITS</w:t>
            </w:r>
          </w:p>
        </w:tc>
      </w:tr>
    </w:tbl>
    <w:p w:rsidR="003F4CE1" w:rsidRDefault="003F4CE1" w:rsidP="00BA2B42">
      <w:pPr>
        <w:pStyle w:val="ListParagraph"/>
        <w:numPr>
          <w:ilvl w:val="0"/>
          <w:numId w:val="15"/>
        </w:numPr>
        <w:autoSpaceDE w:val="0"/>
        <w:autoSpaceDN w:val="0"/>
        <w:adjustRightInd w:val="0"/>
        <w:spacing w:after="120" w:line="240" w:lineRule="auto"/>
        <w:rPr>
          <w:rFonts w:eastAsia="Times New Roman" w:cs="Book Antiqua"/>
          <w:b/>
          <w:color w:val="000000"/>
          <w:sz w:val="24"/>
          <w:szCs w:val="24"/>
          <w:lang w:eastAsia="en-GB"/>
        </w:rPr>
        <w:sectPr w:rsidR="003F4CE1" w:rsidSect="00BA2B42">
          <w:type w:val="continuous"/>
          <w:pgSz w:w="11906" w:h="16838"/>
          <w:pgMar w:top="1440" w:right="1134" w:bottom="284" w:left="1134" w:header="709" w:footer="709" w:gutter="0"/>
          <w:pgBorders w:offsetFrom="page">
            <w:top w:val="single" w:sz="18" w:space="24" w:color="000080"/>
            <w:left w:val="single" w:sz="18" w:space="24" w:color="000080"/>
            <w:bottom w:val="single" w:sz="18" w:space="24" w:color="000080"/>
            <w:right w:val="single" w:sz="18" w:space="24" w:color="000080"/>
          </w:pgBorders>
          <w:cols w:num="2" w:space="708"/>
          <w:docGrid w:linePitch="360"/>
        </w:sectPr>
      </w:pPr>
    </w:p>
    <w:p w:rsidR="0056264E" w:rsidRPr="0056264E" w:rsidRDefault="00584580" w:rsidP="00FD3892">
      <w:pPr>
        <w:pStyle w:val="ListParagraph"/>
        <w:numPr>
          <w:ilvl w:val="0"/>
          <w:numId w:val="15"/>
        </w:numPr>
        <w:autoSpaceDE w:val="0"/>
        <w:autoSpaceDN w:val="0"/>
        <w:adjustRightInd w:val="0"/>
        <w:spacing w:after="0" w:line="240" w:lineRule="auto"/>
        <w:rPr>
          <w:rFonts w:eastAsia="Times New Roman" w:cs="Book Antiqua"/>
          <w:b/>
          <w:color w:val="000000"/>
          <w:sz w:val="24"/>
          <w:szCs w:val="24"/>
          <w:lang w:eastAsia="en-GB"/>
        </w:rPr>
      </w:pPr>
      <w:r w:rsidRPr="0056264E">
        <w:rPr>
          <w:rFonts w:eastAsia="Times New Roman" w:cs="Book Antiqua"/>
          <w:b/>
          <w:color w:val="000000"/>
          <w:sz w:val="24"/>
          <w:szCs w:val="24"/>
          <w:lang w:eastAsia="en-GB"/>
        </w:rPr>
        <w:lastRenderedPageBreak/>
        <w:t>Higher</w:t>
      </w:r>
      <w:r w:rsidR="00324A3B" w:rsidRPr="0056264E">
        <w:rPr>
          <w:rFonts w:eastAsia="Times New Roman" w:cs="Book Antiqua"/>
          <w:b/>
          <w:color w:val="000000"/>
          <w:sz w:val="24"/>
          <w:szCs w:val="24"/>
          <w:lang w:eastAsia="en-GB"/>
        </w:rPr>
        <w:t xml:space="preserve"> thermal</w:t>
      </w:r>
      <w:r w:rsidRPr="0056264E">
        <w:rPr>
          <w:rFonts w:eastAsia="Times New Roman" w:cs="Book Antiqua"/>
          <w:b/>
          <w:color w:val="000000"/>
          <w:sz w:val="24"/>
          <w:szCs w:val="24"/>
          <w:lang w:eastAsia="en-GB"/>
        </w:rPr>
        <w:t xml:space="preserve"> and oxidative</w:t>
      </w:r>
      <w:r w:rsidR="00324A3B" w:rsidRPr="0056264E">
        <w:rPr>
          <w:rFonts w:eastAsia="Times New Roman" w:cs="Book Antiqua"/>
          <w:b/>
          <w:color w:val="000000"/>
          <w:sz w:val="24"/>
          <w:szCs w:val="24"/>
          <w:lang w:eastAsia="en-GB"/>
        </w:rPr>
        <w:t xml:space="preserve"> stab</w:t>
      </w:r>
      <w:r w:rsidRPr="0056264E">
        <w:rPr>
          <w:rFonts w:eastAsia="Times New Roman" w:cs="Book Antiqua"/>
          <w:b/>
          <w:color w:val="000000"/>
          <w:sz w:val="24"/>
          <w:szCs w:val="24"/>
          <w:lang w:eastAsia="en-GB"/>
        </w:rPr>
        <w:t>ility</w:t>
      </w:r>
      <w:r w:rsidR="00324A3B" w:rsidRPr="0056264E">
        <w:rPr>
          <w:rFonts w:eastAsia="Times New Roman" w:cs="Book Antiqua"/>
          <w:b/>
          <w:color w:val="000000"/>
          <w:sz w:val="24"/>
          <w:szCs w:val="24"/>
          <w:lang w:eastAsia="en-GB"/>
        </w:rPr>
        <w:t xml:space="preserve"> than other</w:t>
      </w:r>
      <w:r w:rsidR="00D21177">
        <w:rPr>
          <w:rFonts w:eastAsia="Times New Roman" w:cs="Book Antiqua"/>
          <w:b/>
          <w:color w:val="000000"/>
          <w:sz w:val="24"/>
          <w:szCs w:val="24"/>
          <w:lang w:eastAsia="en-GB"/>
        </w:rPr>
        <w:t xml:space="preserve"> leading</w:t>
      </w:r>
      <w:r w:rsidR="00324A3B" w:rsidRPr="0056264E">
        <w:rPr>
          <w:rFonts w:eastAsia="Times New Roman" w:cs="Book Antiqua"/>
          <w:b/>
          <w:color w:val="000000"/>
          <w:sz w:val="24"/>
          <w:szCs w:val="24"/>
          <w:lang w:eastAsia="en-GB"/>
        </w:rPr>
        <w:t xml:space="preserve"> food grade</w:t>
      </w:r>
      <w:r w:rsidR="00D21177">
        <w:rPr>
          <w:rFonts w:eastAsia="Times New Roman" w:cs="Book Antiqua"/>
          <w:b/>
          <w:color w:val="000000"/>
          <w:sz w:val="24"/>
          <w:szCs w:val="24"/>
          <w:lang w:eastAsia="en-GB"/>
        </w:rPr>
        <w:t xml:space="preserve"> and non-food grade heat transfer oils.</w:t>
      </w:r>
    </w:p>
    <w:p w:rsidR="00E47E4A" w:rsidRDefault="00E47E4A" w:rsidP="00FD3892">
      <w:pPr>
        <w:pStyle w:val="ListParagraph"/>
        <w:numPr>
          <w:ilvl w:val="0"/>
          <w:numId w:val="15"/>
        </w:numPr>
        <w:autoSpaceDE w:val="0"/>
        <w:autoSpaceDN w:val="0"/>
        <w:adjustRightInd w:val="0"/>
        <w:spacing w:after="0" w:line="240" w:lineRule="auto"/>
        <w:rPr>
          <w:rFonts w:eastAsia="Times New Roman" w:cs="Book Antiqua"/>
          <w:b/>
          <w:color w:val="000000"/>
          <w:sz w:val="24"/>
          <w:szCs w:val="24"/>
          <w:lang w:eastAsia="en-GB"/>
        </w:rPr>
      </w:pPr>
      <w:r>
        <w:rPr>
          <w:rFonts w:eastAsia="Times New Roman" w:cs="Book Antiqua"/>
          <w:b/>
          <w:color w:val="000000"/>
          <w:sz w:val="24"/>
          <w:szCs w:val="24"/>
          <w:lang w:eastAsia="en-GB"/>
        </w:rPr>
        <w:t xml:space="preserve">Highly resistant to oxidative breakdown and </w:t>
      </w:r>
      <w:r w:rsidR="00982D59">
        <w:rPr>
          <w:rFonts w:eastAsia="Times New Roman" w:cs="Book Antiqua"/>
          <w:b/>
          <w:color w:val="000000"/>
          <w:sz w:val="24"/>
          <w:szCs w:val="24"/>
          <w:lang w:eastAsia="en-GB"/>
        </w:rPr>
        <w:t>thermal degradation</w:t>
      </w:r>
    </w:p>
    <w:p w:rsidR="00BA2B42" w:rsidRPr="00982D59" w:rsidRDefault="00E47E4A" w:rsidP="00FD3892">
      <w:pPr>
        <w:pStyle w:val="ListParagraph"/>
        <w:numPr>
          <w:ilvl w:val="0"/>
          <w:numId w:val="15"/>
        </w:numPr>
        <w:autoSpaceDE w:val="0"/>
        <w:autoSpaceDN w:val="0"/>
        <w:adjustRightInd w:val="0"/>
        <w:spacing w:after="0" w:line="240" w:lineRule="auto"/>
        <w:rPr>
          <w:rFonts w:eastAsia="Times New Roman" w:cs="Book Antiqua"/>
          <w:b/>
          <w:color w:val="000000"/>
          <w:sz w:val="24"/>
          <w:szCs w:val="24"/>
          <w:lang w:eastAsia="en-GB"/>
        </w:rPr>
      </w:pPr>
      <w:r w:rsidRPr="00982D59">
        <w:rPr>
          <w:rFonts w:eastAsia="Times New Roman" w:cs="Book Antiqua"/>
          <w:b/>
          <w:color w:val="000000"/>
          <w:sz w:val="24"/>
          <w:szCs w:val="24"/>
          <w:lang w:eastAsia="en-GB"/>
        </w:rPr>
        <w:t>Extended oil life providing increased efficiency and reduced costs</w:t>
      </w:r>
    </w:p>
    <w:p w:rsidR="00BA2B42" w:rsidRPr="00982D59" w:rsidRDefault="00CD60CA" w:rsidP="00FD3892">
      <w:pPr>
        <w:pStyle w:val="ListParagraph"/>
        <w:numPr>
          <w:ilvl w:val="0"/>
          <w:numId w:val="15"/>
        </w:numPr>
        <w:autoSpaceDE w:val="0"/>
        <w:autoSpaceDN w:val="0"/>
        <w:adjustRightInd w:val="0"/>
        <w:spacing w:after="0" w:line="240" w:lineRule="auto"/>
        <w:rPr>
          <w:rFonts w:eastAsia="Times New Roman" w:cs="Book Antiqua"/>
          <w:b/>
          <w:color w:val="000000"/>
          <w:sz w:val="24"/>
          <w:szCs w:val="24"/>
          <w:lang w:eastAsia="en-GB"/>
        </w:rPr>
      </w:pPr>
      <w:r w:rsidRPr="00982D59">
        <w:rPr>
          <w:rFonts w:eastAsia="Times New Roman" w:cs="Book Antiqua"/>
          <w:b/>
          <w:color w:val="000000"/>
          <w:sz w:val="24"/>
          <w:szCs w:val="24"/>
          <w:lang w:eastAsia="en-GB"/>
        </w:rPr>
        <w:t>Minimises oil thickening and p</w:t>
      </w:r>
      <w:r w:rsidR="003F4CE1" w:rsidRPr="00982D59">
        <w:rPr>
          <w:rFonts w:eastAsia="Times New Roman" w:cs="Book Antiqua"/>
          <w:b/>
          <w:color w:val="000000"/>
          <w:sz w:val="24"/>
          <w:szCs w:val="24"/>
          <w:lang w:eastAsia="en-GB"/>
        </w:rPr>
        <w:t>revents</w:t>
      </w:r>
      <w:r w:rsidR="00E47E4A" w:rsidRPr="00982D59">
        <w:rPr>
          <w:rFonts w:eastAsia="Times New Roman" w:cs="Book Antiqua"/>
          <w:b/>
          <w:color w:val="000000"/>
          <w:sz w:val="24"/>
          <w:szCs w:val="24"/>
          <w:lang w:eastAsia="en-GB"/>
        </w:rPr>
        <w:t xml:space="preserve"> the build-up of deposits </w:t>
      </w:r>
      <w:r w:rsidR="003F4CE1" w:rsidRPr="00982D59">
        <w:rPr>
          <w:rFonts w:eastAsia="Times New Roman" w:cs="Book Antiqua"/>
          <w:b/>
          <w:color w:val="000000"/>
          <w:sz w:val="24"/>
          <w:szCs w:val="24"/>
          <w:lang w:eastAsia="en-GB"/>
        </w:rPr>
        <w:t>and resins that can dramatically reduce system efficiency</w:t>
      </w:r>
    </w:p>
    <w:p w:rsidR="00BA2B42" w:rsidRPr="00982D59" w:rsidRDefault="00324A3B" w:rsidP="00FD3892">
      <w:pPr>
        <w:pStyle w:val="ListParagraph"/>
        <w:numPr>
          <w:ilvl w:val="0"/>
          <w:numId w:val="15"/>
        </w:numPr>
        <w:autoSpaceDE w:val="0"/>
        <w:autoSpaceDN w:val="0"/>
        <w:adjustRightInd w:val="0"/>
        <w:spacing w:after="0" w:line="240" w:lineRule="auto"/>
        <w:rPr>
          <w:rFonts w:eastAsia="Times New Roman" w:cs="Book Antiqua"/>
          <w:b/>
          <w:color w:val="000000"/>
          <w:sz w:val="24"/>
          <w:szCs w:val="24"/>
          <w:lang w:eastAsia="en-GB"/>
        </w:rPr>
        <w:sectPr w:rsidR="00BA2B42" w:rsidRPr="00982D59" w:rsidSect="00CD60CA">
          <w:type w:val="continuous"/>
          <w:pgSz w:w="11906" w:h="16838"/>
          <w:pgMar w:top="1440" w:right="1134" w:bottom="284" w:left="1134" w:header="709" w:footer="709" w:gutter="0"/>
          <w:pgBorders w:offsetFrom="page">
            <w:top w:val="single" w:sz="18" w:space="24" w:color="000080"/>
            <w:left w:val="single" w:sz="18" w:space="24" w:color="000080"/>
            <w:bottom w:val="single" w:sz="18" w:space="24" w:color="000080"/>
            <w:right w:val="single" w:sz="18" w:space="24" w:color="000080"/>
          </w:pgBorders>
          <w:cols w:space="708"/>
          <w:docGrid w:linePitch="360"/>
        </w:sectPr>
      </w:pPr>
      <w:r w:rsidRPr="00982D59">
        <w:rPr>
          <w:rFonts w:eastAsia="Times New Roman" w:cs="Book Antiqua"/>
          <w:b/>
          <w:color w:val="000000"/>
          <w:sz w:val="24"/>
          <w:szCs w:val="24"/>
          <w:lang w:eastAsia="en-GB"/>
        </w:rPr>
        <w:t xml:space="preserve">Lowest Pour Point of all leading </w:t>
      </w:r>
      <w:r w:rsidR="003F4CE1" w:rsidRPr="00982D59">
        <w:rPr>
          <w:rFonts w:eastAsia="Times New Roman" w:cs="Book Antiqua"/>
          <w:b/>
          <w:color w:val="000000"/>
          <w:sz w:val="24"/>
          <w:szCs w:val="24"/>
          <w:lang w:eastAsia="en-GB"/>
        </w:rPr>
        <w:t xml:space="preserve">food approved </w:t>
      </w:r>
      <w:r w:rsidRPr="00982D59">
        <w:rPr>
          <w:rFonts w:eastAsia="Times New Roman" w:cs="Book Antiqua"/>
          <w:b/>
          <w:color w:val="000000"/>
          <w:sz w:val="24"/>
          <w:szCs w:val="24"/>
          <w:lang w:eastAsia="en-GB"/>
        </w:rPr>
        <w:t>products</w:t>
      </w:r>
      <w:r w:rsidR="00CD60CA" w:rsidRPr="00982D59">
        <w:rPr>
          <w:rFonts w:eastAsia="Times New Roman" w:cs="Book Antiqua"/>
          <w:b/>
          <w:color w:val="000000"/>
          <w:sz w:val="24"/>
          <w:szCs w:val="24"/>
          <w:lang w:eastAsia="en-GB"/>
        </w:rPr>
        <w:t xml:space="preserve"> enhances low temperature flow.</w:t>
      </w:r>
    </w:p>
    <w:p w:rsidR="00D21177" w:rsidRDefault="004E20F1" w:rsidP="00FD3892">
      <w:pPr>
        <w:numPr>
          <w:ilvl w:val="0"/>
          <w:numId w:val="15"/>
        </w:numPr>
        <w:autoSpaceDE w:val="0"/>
        <w:autoSpaceDN w:val="0"/>
        <w:adjustRightInd w:val="0"/>
        <w:spacing w:after="0" w:line="240" w:lineRule="auto"/>
        <w:rPr>
          <w:rFonts w:eastAsia="Times New Roman" w:cs="Book Antiqua"/>
          <w:b/>
          <w:color w:val="000000"/>
          <w:sz w:val="24"/>
          <w:szCs w:val="24"/>
          <w:lang w:eastAsia="en-GB"/>
        </w:rPr>
      </w:pPr>
      <w:r w:rsidRPr="00D21177">
        <w:rPr>
          <w:rFonts w:eastAsia="Times New Roman" w:cs="Book Antiqua"/>
          <w:b/>
          <w:color w:val="000000"/>
          <w:sz w:val="24"/>
          <w:szCs w:val="24"/>
          <w:lang w:eastAsia="en-GB"/>
        </w:rPr>
        <w:lastRenderedPageBreak/>
        <w:t>NSF H1, HT-1, HX-1 Food grade Approved</w:t>
      </w:r>
      <w:r w:rsidR="003F4CE1" w:rsidRPr="00D21177">
        <w:rPr>
          <w:rFonts w:eastAsia="Times New Roman" w:cs="Book Antiqua"/>
          <w:b/>
          <w:color w:val="000000"/>
          <w:sz w:val="24"/>
          <w:szCs w:val="24"/>
          <w:lang w:eastAsia="en-GB"/>
        </w:rPr>
        <w:t xml:space="preserve"> and FDA Compliant</w:t>
      </w:r>
    </w:p>
    <w:p w:rsidR="00D21177" w:rsidRPr="00FD3892" w:rsidRDefault="00FD3892" w:rsidP="00FD3892">
      <w:pPr>
        <w:numPr>
          <w:ilvl w:val="0"/>
          <w:numId w:val="15"/>
        </w:numPr>
        <w:autoSpaceDE w:val="0"/>
        <w:autoSpaceDN w:val="0"/>
        <w:adjustRightInd w:val="0"/>
        <w:spacing w:after="0" w:line="240" w:lineRule="auto"/>
        <w:rPr>
          <w:rFonts w:eastAsia="Times New Roman" w:cs="Book Antiqua"/>
          <w:b/>
          <w:color w:val="000000"/>
          <w:sz w:val="24"/>
          <w:szCs w:val="24"/>
          <w:lang w:eastAsia="en-GB"/>
        </w:rPr>
      </w:pPr>
      <w:r>
        <w:rPr>
          <w:rFonts w:eastAsia="Times New Roman" w:cs="Book Antiqua"/>
          <w:b/>
          <w:color w:val="000000"/>
          <w:sz w:val="24"/>
          <w:szCs w:val="24"/>
          <w:lang w:eastAsia="en-GB"/>
        </w:rPr>
        <w:t>Enables compliance with</w:t>
      </w:r>
      <w:r w:rsidR="00D21177" w:rsidRPr="00D21177">
        <w:rPr>
          <w:rFonts w:eastAsia="Times New Roman" w:cs="Book Antiqua"/>
          <w:color w:val="000000"/>
          <w:lang w:eastAsia="en-GB"/>
        </w:rPr>
        <w:t xml:space="preserve"> </w:t>
      </w:r>
      <w:r w:rsidR="00D21177" w:rsidRPr="00FD3892">
        <w:rPr>
          <w:rFonts w:eastAsia="Times New Roman" w:cs="Book Antiqua"/>
          <w:b/>
          <w:color w:val="000000"/>
          <w:lang w:eastAsia="en-GB"/>
        </w:rPr>
        <w:t>Hazard Analysis Critical Control Point (HACCP) principles in relation to potential contamination hot spots.</w:t>
      </w:r>
    </w:p>
    <w:p w:rsidR="004E20F1" w:rsidRPr="009753F2" w:rsidRDefault="004E20F1" w:rsidP="00FD3892">
      <w:pPr>
        <w:numPr>
          <w:ilvl w:val="0"/>
          <w:numId w:val="15"/>
        </w:numPr>
        <w:autoSpaceDE w:val="0"/>
        <w:autoSpaceDN w:val="0"/>
        <w:adjustRightInd w:val="0"/>
        <w:spacing w:after="0" w:line="240" w:lineRule="auto"/>
        <w:rPr>
          <w:rFonts w:eastAsia="Times New Roman" w:cs="Book Antiqua"/>
          <w:b/>
          <w:color w:val="000000"/>
          <w:sz w:val="24"/>
          <w:szCs w:val="24"/>
          <w:lang w:eastAsia="en-GB"/>
        </w:rPr>
      </w:pPr>
      <w:r w:rsidRPr="009753F2">
        <w:rPr>
          <w:rFonts w:eastAsia="Times New Roman" w:cs="Book Antiqua"/>
          <w:b/>
          <w:color w:val="000000"/>
          <w:sz w:val="24"/>
          <w:szCs w:val="24"/>
          <w:lang w:eastAsia="en-GB"/>
        </w:rPr>
        <w:t>Ultra-high purity</w:t>
      </w:r>
      <w:r w:rsidR="003F4CE1">
        <w:rPr>
          <w:rFonts w:eastAsia="Times New Roman" w:cs="Book Antiqua"/>
          <w:b/>
          <w:color w:val="000000"/>
          <w:sz w:val="24"/>
          <w:szCs w:val="24"/>
          <w:lang w:eastAsia="en-GB"/>
        </w:rPr>
        <w:t xml:space="preserve"> </w:t>
      </w:r>
      <w:r w:rsidR="002A7AF9">
        <w:rPr>
          <w:rFonts w:eastAsia="Times New Roman" w:cs="Book Antiqua"/>
          <w:b/>
          <w:color w:val="000000"/>
          <w:sz w:val="24"/>
          <w:szCs w:val="24"/>
          <w:lang w:eastAsia="en-GB"/>
        </w:rPr>
        <w:t>provides enhanced factory environment and worker health and safety</w:t>
      </w:r>
    </w:p>
    <w:p w:rsidR="00BA2B42" w:rsidRDefault="00BA2B42" w:rsidP="00FD3892">
      <w:pPr>
        <w:autoSpaceDE w:val="0"/>
        <w:autoSpaceDN w:val="0"/>
        <w:adjustRightInd w:val="0"/>
        <w:spacing w:after="0" w:line="240" w:lineRule="auto"/>
        <w:jc w:val="both"/>
        <w:rPr>
          <w:rFonts w:eastAsia="Times New Roman" w:cs="Tahoma"/>
          <w:color w:val="000000"/>
          <w:sz w:val="24"/>
          <w:szCs w:val="24"/>
          <w:lang w:eastAsia="en-GB"/>
        </w:rPr>
        <w:sectPr w:rsidR="00BA2B42" w:rsidSect="00CD60CA">
          <w:type w:val="continuous"/>
          <w:pgSz w:w="11906" w:h="16838"/>
          <w:pgMar w:top="1440" w:right="1134" w:bottom="284" w:left="1134" w:header="709" w:footer="709" w:gutter="0"/>
          <w:pgBorders w:offsetFrom="page">
            <w:top w:val="single" w:sz="18" w:space="24" w:color="000080"/>
            <w:left w:val="single" w:sz="18" w:space="24" w:color="000080"/>
            <w:bottom w:val="single" w:sz="18" w:space="24" w:color="000080"/>
            <w:right w:val="single" w:sz="18" w:space="24" w:color="000080"/>
          </w:pgBorders>
          <w:cols w:space="708"/>
          <w:docGrid w:linePitch="360"/>
        </w:sectPr>
      </w:pPr>
    </w:p>
    <w:p w:rsidR="00BA2B42" w:rsidRDefault="00BA2B42" w:rsidP="00FD3892">
      <w:pPr>
        <w:autoSpaceDE w:val="0"/>
        <w:autoSpaceDN w:val="0"/>
        <w:adjustRightInd w:val="0"/>
        <w:spacing w:after="0" w:line="240" w:lineRule="auto"/>
        <w:jc w:val="both"/>
        <w:rPr>
          <w:rFonts w:eastAsia="Times New Roman" w:cs="Tahoma"/>
          <w:color w:val="000000"/>
          <w:sz w:val="24"/>
          <w:szCs w:val="24"/>
          <w:lang w:eastAsia="en-GB"/>
        </w:rPr>
        <w:sectPr w:rsidR="00BA2B42" w:rsidSect="004E20F1">
          <w:type w:val="continuous"/>
          <w:pgSz w:w="11906" w:h="16838"/>
          <w:pgMar w:top="1440" w:right="1134" w:bottom="284" w:left="1134" w:header="709" w:footer="709" w:gutter="0"/>
          <w:pgBorders w:offsetFrom="page">
            <w:top w:val="single" w:sz="18" w:space="24" w:color="000080"/>
            <w:left w:val="single" w:sz="18" w:space="24" w:color="000080"/>
            <w:bottom w:val="single" w:sz="18" w:space="24" w:color="000080"/>
            <w:right w:val="single" w:sz="18" w:space="24" w:color="000080"/>
          </w:pgBorders>
          <w:cols w:num="2" w:space="708"/>
          <w:docGrid w:linePitch="360"/>
        </w:sect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C45748" w:rsidRPr="009753F2" w:rsidTr="00C60481">
        <w:tc>
          <w:tcPr>
            <w:tcW w:w="9922" w:type="dxa"/>
            <w:shd w:val="clear" w:color="auto" w:fill="0070C0"/>
          </w:tcPr>
          <w:p w:rsidR="00C45748" w:rsidRPr="009753F2" w:rsidRDefault="00C45748" w:rsidP="00C60481">
            <w:pPr>
              <w:autoSpaceDE w:val="0"/>
              <w:autoSpaceDN w:val="0"/>
              <w:adjustRightInd w:val="0"/>
              <w:spacing w:after="0" w:line="240" w:lineRule="auto"/>
              <w:rPr>
                <w:rFonts w:eastAsia="Times New Roman" w:cs="Book Antiqua"/>
                <w:b/>
                <w:color w:val="000000"/>
                <w:sz w:val="28"/>
                <w:szCs w:val="28"/>
                <w:lang w:eastAsia="en-GB"/>
              </w:rPr>
            </w:pPr>
            <w:r w:rsidRPr="009753F2">
              <w:rPr>
                <w:rFonts w:eastAsia="Times New Roman" w:cs="Book Antiqua"/>
                <w:b/>
                <w:color w:val="FFFFFF"/>
                <w:sz w:val="28"/>
                <w:szCs w:val="28"/>
                <w:lang w:eastAsia="en-GB"/>
              </w:rPr>
              <w:lastRenderedPageBreak/>
              <w:t>TYPICAL PHYSICAL DATA</w:t>
            </w:r>
          </w:p>
        </w:tc>
      </w:tr>
    </w:tbl>
    <w:p w:rsidR="00C60481" w:rsidRPr="009753F2" w:rsidRDefault="00C60481" w:rsidP="00C60481">
      <w:pPr>
        <w:spacing w:after="0"/>
        <w:rPr>
          <w:vanish/>
          <w:sz w:val="24"/>
          <w:szCs w:val="24"/>
        </w:rPr>
      </w:pPr>
    </w:p>
    <w:tbl>
      <w:tblPr>
        <w:tblW w:w="1034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392"/>
        <w:gridCol w:w="6766"/>
        <w:gridCol w:w="3156"/>
        <w:gridCol w:w="29"/>
      </w:tblGrid>
      <w:tr w:rsidR="00C45748" w:rsidRPr="009753F2" w:rsidTr="001937D2">
        <w:trPr>
          <w:gridBefore w:val="1"/>
          <w:gridAfter w:val="1"/>
          <w:wBefore w:w="392" w:type="dxa"/>
          <w:wAfter w:w="29" w:type="dxa"/>
          <w:trHeight w:val="298"/>
        </w:trPr>
        <w:tc>
          <w:tcPr>
            <w:tcW w:w="6766" w:type="dxa"/>
            <w:shd w:val="clear" w:color="auto" w:fill="B4C6E7"/>
          </w:tcPr>
          <w:p w:rsidR="00C45748" w:rsidRPr="009753F2" w:rsidRDefault="00C45748" w:rsidP="00454659">
            <w:pPr>
              <w:autoSpaceDE w:val="0"/>
              <w:autoSpaceDN w:val="0"/>
              <w:adjustRightInd w:val="0"/>
              <w:spacing w:after="0" w:line="240" w:lineRule="auto"/>
              <w:rPr>
                <w:rFonts w:eastAsia="Times New Roman" w:cs="Book Antiqua"/>
                <w:b/>
                <w:color w:val="000000"/>
                <w:sz w:val="24"/>
                <w:szCs w:val="24"/>
                <w:lang w:eastAsia="en-GB"/>
              </w:rPr>
            </w:pPr>
            <w:r w:rsidRPr="009753F2">
              <w:rPr>
                <w:rFonts w:eastAsia="Times New Roman" w:cs="Book Antiqua"/>
                <w:b/>
                <w:color w:val="000000"/>
                <w:sz w:val="24"/>
                <w:szCs w:val="24"/>
                <w:lang w:eastAsia="en-GB"/>
              </w:rPr>
              <w:t>OIL UK THERM</w:t>
            </w:r>
            <w:r w:rsidR="00454659" w:rsidRPr="009753F2">
              <w:rPr>
                <w:rFonts w:eastAsia="Times New Roman" w:cs="Book Antiqua"/>
                <w:b/>
                <w:color w:val="000000"/>
                <w:sz w:val="24"/>
                <w:szCs w:val="24"/>
                <w:lang w:eastAsia="en-GB"/>
              </w:rPr>
              <w:t>ALTRANS FG</w:t>
            </w:r>
          </w:p>
        </w:tc>
        <w:tc>
          <w:tcPr>
            <w:tcW w:w="3156" w:type="dxa"/>
            <w:shd w:val="clear" w:color="auto" w:fill="B4C6E7"/>
          </w:tcPr>
          <w:p w:rsidR="00C45748" w:rsidRPr="009753F2" w:rsidRDefault="00C45748" w:rsidP="00C60481">
            <w:pPr>
              <w:autoSpaceDE w:val="0"/>
              <w:autoSpaceDN w:val="0"/>
              <w:adjustRightInd w:val="0"/>
              <w:spacing w:after="0" w:line="240" w:lineRule="auto"/>
              <w:jc w:val="center"/>
              <w:rPr>
                <w:rFonts w:eastAsia="Times New Roman" w:cs="Book Antiqua"/>
                <w:b/>
                <w:color w:val="000000"/>
                <w:sz w:val="24"/>
                <w:szCs w:val="24"/>
                <w:lang w:eastAsia="en-GB"/>
              </w:rPr>
            </w:pPr>
            <w:r w:rsidRPr="009753F2">
              <w:rPr>
                <w:rFonts w:eastAsia="Times New Roman" w:cs="Book Antiqua"/>
                <w:b/>
                <w:color w:val="000000"/>
                <w:sz w:val="24"/>
                <w:szCs w:val="24"/>
                <w:lang w:eastAsia="en-GB"/>
              </w:rPr>
              <w:t>Typical Data</w:t>
            </w:r>
          </w:p>
        </w:tc>
      </w:tr>
      <w:tr w:rsidR="00C45748" w:rsidRPr="009753F2" w:rsidTr="001937D2">
        <w:trPr>
          <w:gridBefore w:val="1"/>
          <w:gridAfter w:val="1"/>
          <w:wBefore w:w="392" w:type="dxa"/>
          <w:wAfter w:w="29" w:type="dxa"/>
          <w:trHeight w:val="298"/>
        </w:trPr>
        <w:tc>
          <w:tcPr>
            <w:tcW w:w="6766" w:type="dxa"/>
            <w:shd w:val="clear" w:color="auto" w:fill="B4C6E7"/>
          </w:tcPr>
          <w:p w:rsidR="00C45748" w:rsidRPr="009753F2" w:rsidRDefault="00454659" w:rsidP="00C60481">
            <w:pPr>
              <w:autoSpaceDE w:val="0"/>
              <w:autoSpaceDN w:val="0"/>
              <w:adjustRightInd w:val="0"/>
              <w:spacing w:after="0" w:line="240" w:lineRule="auto"/>
              <w:rPr>
                <w:rFonts w:eastAsia="Times New Roman" w:cs="Book Antiqua"/>
                <w:color w:val="000000"/>
                <w:sz w:val="24"/>
                <w:szCs w:val="24"/>
                <w:lang w:eastAsia="en-GB"/>
              </w:rPr>
            </w:pPr>
            <w:r w:rsidRPr="009753F2">
              <w:rPr>
                <w:rFonts w:eastAsia="Times New Roman" w:cs="Book Antiqua"/>
                <w:color w:val="000000"/>
                <w:sz w:val="24"/>
                <w:szCs w:val="24"/>
                <w:lang w:eastAsia="en-GB"/>
              </w:rPr>
              <w:t>Appearance</w:t>
            </w:r>
          </w:p>
        </w:tc>
        <w:tc>
          <w:tcPr>
            <w:tcW w:w="3156" w:type="dxa"/>
            <w:shd w:val="clear" w:color="auto" w:fill="D9E2F3"/>
          </w:tcPr>
          <w:p w:rsidR="00C45748" w:rsidRPr="009753F2" w:rsidRDefault="00454659" w:rsidP="00C60481">
            <w:pPr>
              <w:autoSpaceDE w:val="0"/>
              <w:autoSpaceDN w:val="0"/>
              <w:adjustRightInd w:val="0"/>
              <w:spacing w:after="0" w:line="240" w:lineRule="auto"/>
              <w:jc w:val="center"/>
              <w:rPr>
                <w:rFonts w:eastAsia="Times New Roman" w:cs="Book Antiqua"/>
                <w:color w:val="000000"/>
                <w:sz w:val="24"/>
                <w:szCs w:val="24"/>
                <w:lang w:eastAsia="en-GB"/>
              </w:rPr>
            </w:pPr>
            <w:r w:rsidRPr="009753F2">
              <w:rPr>
                <w:rFonts w:eastAsia="Times New Roman" w:cs="Book Antiqua"/>
                <w:color w:val="000000"/>
                <w:sz w:val="24"/>
                <w:szCs w:val="24"/>
                <w:lang w:eastAsia="en-GB"/>
              </w:rPr>
              <w:t>Water White</w:t>
            </w:r>
          </w:p>
        </w:tc>
      </w:tr>
      <w:tr w:rsidR="00454659" w:rsidRPr="009753F2" w:rsidTr="001937D2">
        <w:trPr>
          <w:gridBefore w:val="1"/>
          <w:gridAfter w:val="1"/>
          <w:wBefore w:w="392" w:type="dxa"/>
          <w:wAfter w:w="29" w:type="dxa"/>
          <w:trHeight w:val="295"/>
        </w:trPr>
        <w:tc>
          <w:tcPr>
            <w:tcW w:w="6766" w:type="dxa"/>
            <w:shd w:val="clear" w:color="auto" w:fill="B4C6E7"/>
          </w:tcPr>
          <w:p w:rsidR="00454659" w:rsidRPr="009753F2" w:rsidRDefault="00454659" w:rsidP="00C60481">
            <w:pPr>
              <w:autoSpaceDE w:val="0"/>
              <w:autoSpaceDN w:val="0"/>
              <w:adjustRightInd w:val="0"/>
              <w:spacing w:after="0" w:line="240" w:lineRule="auto"/>
              <w:rPr>
                <w:rFonts w:eastAsia="Times New Roman" w:cs="Book Antiqua"/>
                <w:b/>
                <w:color w:val="000000"/>
                <w:sz w:val="24"/>
                <w:szCs w:val="24"/>
                <w:lang w:eastAsia="en-GB"/>
              </w:rPr>
            </w:pPr>
            <w:r w:rsidRPr="009753F2">
              <w:rPr>
                <w:rFonts w:eastAsia="Times New Roman" w:cs="Book Antiqua"/>
                <w:b/>
                <w:color w:val="000000"/>
                <w:sz w:val="24"/>
                <w:szCs w:val="24"/>
                <w:lang w:eastAsia="en-GB"/>
              </w:rPr>
              <w:t>Odour</w:t>
            </w:r>
          </w:p>
        </w:tc>
        <w:tc>
          <w:tcPr>
            <w:tcW w:w="3156" w:type="dxa"/>
            <w:shd w:val="clear" w:color="auto" w:fill="B4C6E7"/>
          </w:tcPr>
          <w:p w:rsidR="00454659" w:rsidRPr="009753F2" w:rsidRDefault="00454659" w:rsidP="00C60481">
            <w:pPr>
              <w:autoSpaceDE w:val="0"/>
              <w:autoSpaceDN w:val="0"/>
              <w:adjustRightInd w:val="0"/>
              <w:spacing w:after="0" w:line="240" w:lineRule="auto"/>
              <w:jc w:val="center"/>
              <w:rPr>
                <w:rFonts w:eastAsia="Times New Roman" w:cs="Book Antiqua"/>
                <w:color w:val="000000"/>
                <w:sz w:val="24"/>
                <w:szCs w:val="24"/>
                <w:lang w:eastAsia="en-GB"/>
              </w:rPr>
            </w:pPr>
            <w:r w:rsidRPr="009753F2">
              <w:rPr>
                <w:rFonts w:eastAsia="Times New Roman" w:cs="Book Antiqua"/>
                <w:color w:val="000000"/>
                <w:sz w:val="24"/>
                <w:szCs w:val="24"/>
                <w:lang w:eastAsia="en-GB"/>
              </w:rPr>
              <w:t>Virtually odourless</w:t>
            </w:r>
          </w:p>
        </w:tc>
      </w:tr>
      <w:tr w:rsidR="00C45748" w:rsidRPr="009753F2" w:rsidTr="001937D2">
        <w:trPr>
          <w:gridBefore w:val="1"/>
          <w:gridAfter w:val="1"/>
          <w:wBefore w:w="392" w:type="dxa"/>
          <w:wAfter w:w="29" w:type="dxa"/>
          <w:trHeight w:val="295"/>
        </w:trPr>
        <w:tc>
          <w:tcPr>
            <w:tcW w:w="6766" w:type="dxa"/>
            <w:shd w:val="clear" w:color="auto" w:fill="B4C6E7"/>
          </w:tcPr>
          <w:p w:rsidR="00C45748" w:rsidRPr="009753F2" w:rsidRDefault="00C45748" w:rsidP="00C60481">
            <w:pPr>
              <w:autoSpaceDE w:val="0"/>
              <w:autoSpaceDN w:val="0"/>
              <w:adjustRightInd w:val="0"/>
              <w:spacing w:after="0" w:line="240" w:lineRule="auto"/>
              <w:rPr>
                <w:rFonts w:eastAsia="Times New Roman" w:cs="Book Antiqua"/>
                <w:b/>
                <w:color w:val="000000"/>
                <w:sz w:val="24"/>
                <w:szCs w:val="24"/>
                <w:lang w:eastAsia="en-GB"/>
              </w:rPr>
            </w:pPr>
            <w:r w:rsidRPr="009753F2">
              <w:rPr>
                <w:rFonts w:eastAsia="Times New Roman" w:cs="Book Antiqua"/>
                <w:b/>
                <w:color w:val="000000"/>
                <w:sz w:val="24"/>
                <w:szCs w:val="24"/>
                <w:lang w:eastAsia="en-GB"/>
              </w:rPr>
              <w:t>Density at 15°C, kg/m</w:t>
            </w:r>
            <w:r w:rsidRPr="009753F2">
              <w:rPr>
                <w:rFonts w:eastAsia="Times New Roman" w:cs="Book Antiqua"/>
                <w:b/>
                <w:color w:val="000000"/>
                <w:position w:val="8"/>
                <w:sz w:val="24"/>
                <w:szCs w:val="24"/>
                <w:vertAlign w:val="superscript"/>
                <w:lang w:eastAsia="en-GB"/>
              </w:rPr>
              <w:t>3</w:t>
            </w:r>
          </w:p>
        </w:tc>
        <w:tc>
          <w:tcPr>
            <w:tcW w:w="3156" w:type="dxa"/>
            <w:shd w:val="clear" w:color="auto" w:fill="B4C6E7"/>
          </w:tcPr>
          <w:p w:rsidR="00C45748" w:rsidRPr="009753F2" w:rsidRDefault="00C45748" w:rsidP="00454659">
            <w:pPr>
              <w:autoSpaceDE w:val="0"/>
              <w:autoSpaceDN w:val="0"/>
              <w:adjustRightInd w:val="0"/>
              <w:spacing w:after="0" w:line="240" w:lineRule="auto"/>
              <w:jc w:val="center"/>
              <w:rPr>
                <w:rFonts w:eastAsia="Times New Roman" w:cs="Book Antiqua"/>
                <w:color w:val="000000"/>
                <w:sz w:val="24"/>
                <w:szCs w:val="24"/>
                <w:lang w:eastAsia="en-GB"/>
              </w:rPr>
            </w:pPr>
            <w:r w:rsidRPr="009753F2">
              <w:rPr>
                <w:rFonts w:eastAsia="Times New Roman" w:cs="Book Antiqua"/>
                <w:color w:val="000000"/>
                <w:sz w:val="24"/>
                <w:szCs w:val="24"/>
                <w:lang w:eastAsia="en-GB"/>
              </w:rPr>
              <w:t>8</w:t>
            </w:r>
            <w:r w:rsidR="00454659" w:rsidRPr="009753F2">
              <w:rPr>
                <w:rFonts w:eastAsia="Times New Roman" w:cs="Book Antiqua"/>
                <w:color w:val="000000"/>
                <w:sz w:val="24"/>
                <w:szCs w:val="24"/>
                <w:lang w:eastAsia="en-GB"/>
              </w:rPr>
              <w:t>28</w:t>
            </w:r>
          </w:p>
        </w:tc>
      </w:tr>
      <w:tr w:rsidR="00C45748" w:rsidRPr="009753F2" w:rsidTr="001937D2">
        <w:trPr>
          <w:gridBefore w:val="1"/>
          <w:gridAfter w:val="1"/>
          <w:wBefore w:w="392" w:type="dxa"/>
          <w:wAfter w:w="29" w:type="dxa"/>
          <w:trHeight w:val="295"/>
        </w:trPr>
        <w:tc>
          <w:tcPr>
            <w:tcW w:w="6766" w:type="dxa"/>
            <w:shd w:val="clear" w:color="auto" w:fill="B4C6E7"/>
          </w:tcPr>
          <w:p w:rsidR="00C45748" w:rsidRPr="009753F2" w:rsidRDefault="00C45748" w:rsidP="00C60481">
            <w:pPr>
              <w:autoSpaceDE w:val="0"/>
              <w:autoSpaceDN w:val="0"/>
              <w:adjustRightInd w:val="0"/>
              <w:spacing w:after="0" w:line="240" w:lineRule="auto"/>
              <w:rPr>
                <w:rFonts w:eastAsia="Times New Roman" w:cs="Book Antiqua"/>
                <w:b/>
                <w:color w:val="000000"/>
                <w:sz w:val="24"/>
                <w:szCs w:val="24"/>
                <w:lang w:eastAsia="en-GB"/>
              </w:rPr>
            </w:pPr>
            <w:r w:rsidRPr="009753F2">
              <w:rPr>
                <w:rFonts w:eastAsia="Times New Roman" w:cs="Book Antiqua"/>
                <w:b/>
                <w:color w:val="000000"/>
                <w:sz w:val="24"/>
                <w:szCs w:val="24"/>
                <w:lang w:eastAsia="en-GB"/>
              </w:rPr>
              <w:t>Viscosity at 40°C, mm</w:t>
            </w:r>
            <w:r w:rsidRPr="009753F2">
              <w:rPr>
                <w:rFonts w:eastAsia="Times New Roman" w:cs="Book Antiqua"/>
                <w:b/>
                <w:color w:val="000000"/>
                <w:position w:val="8"/>
                <w:sz w:val="24"/>
                <w:szCs w:val="24"/>
                <w:vertAlign w:val="superscript"/>
                <w:lang w:eastAsia="en-GB"/>
              </w:rPr>
              <w:t>2</w:t>
            </w:r>
            <w:r w:rsidRPr="009753F2">
              <w:rPr>
                <w:rFonts w:eastAsia="Times New Roman" w:cs="Book Antiqua"/>
                <w:b/>
                <w:color w:val="000000"/>
                <w:sz w:val="24"/>
                <w:szCs w:val="24"/>
                <w:lang w:eastAsia="en-GB"/>
              </w:rPr>
              <w:t xml:space="preserve">/s </w:t>
            </w:r>
          </w:p>
        </w:tc>
        <w:tc>
          <w:tcPr>
            <w:tcW w:w="3156" w:type="dxa"/>
            <w:shd w:val="clear" w:color="auto" w:fill="D9E2F3"/>
          </w:tcPr>
          <w:p w:rsidR="00C45748" w:rsidRPr="009753F2" w:rsidRDefault="00454659" w:rsidP="00C60481">
            <w:pPr>
              <w:autoSpaceDE w:val="0"/>
              <w:autoSpaceDN w:val="0"/>
              <w:adjustRightInd w:val="0"/>
              <w:spacing w:after="0" w:line="240" w:lineRule="auto"/>
              <w:jc w:val="center"/>
              <w:rPr>
                <w:rFonts w:eastAsia="Times New Roman" w:cs="Book Antiqua"/>
                <w:color w:val="000000"/>
                <w:sz w:val="24"/>
                <w:szCs w:val="24"/>
                <w:lang w:eastAsia="en-GB"/>
              </w:rPr>
            </w:pPr>
            <w:r w:rsidRPr="009753F2">
              <w:rPr>
                <w:rFonts w:eastAsia="Times New Roman" w:cs="Book Antiqua"/>
                <w:color w:val="000000"/>
                <w:sz w:val="24"/>
                <w:szCs w:val="24"/>
                <w:lang w:eastAsia="en-GB"/>
              </w:rPr>
              <w:t>43</w:t>
            </w:r>
          </w:p>
        </w:tc>
      </w:tr>
      <w:tr w:rsidR="00C45748" w:rsidRPr="009753F2" w:rsidTr="001937D2">
        <w:trPr>
          <w:gridBefore w:val="1"/>
          <w:gridAfter w:val="1"/>
          <w:wBefore w:w="392" w:type="dxa"/>
          <w:wAfter w:w="29" w:type="dxa"/>
          <w:trHeight w:val="295"/>
        </w:trPr>
        <w:tc>
          <w:tcPr>
            <w:tcW w:w="6766" w:type="dxa"/>
            <w:shd w:val="clear" w:color="auto" w:fill="B4C6E7"/>
          </w:tcPr>
          <w:p w:rsidR="00C45748" w:rsidRPr="009753F2" w:rsidRDefault="00C45748" w:rsidP="00C60481">
            <w:pPr>
              <w:autoSpaceDE w:val="0"/>
              <w:autoSpaceDN w:val="0"/>
              <w:adjustRightInd w:val="0"/>
              <w:spacing w:after="0" w:line="240" w:lineRule="auto"/>
              <w:rPr>
                <w:rFonts w:eastAsia="Times New Roman" w:cs="Book Antiqua"/>
                <w:b/>
                <w:color w:val="000000"/>
                <w:sz w:val="24"/>
                <w:szCs w:val="24"/>
                <w:lang w:eastAsia="en-GB"/>
              </w:rPr>
            </w:pPr>
            <w:r w:rsidRPr="009753F2">
              <w:rPr>
                <w:rFonts w:eastAsia="Times New Roman" w:cs="Book Antiqua"/>
                <w:b/>
                <w:color w:val="000000"/>
                <w:sz w:val="24"/>
                <w:szCs w:val="24"/>
                <w:lang w:eastAsia="en-GB"/>
              </w:rPr>
              <w:t>Viscosity at 100°C, mm</w:t>
            </w:r>
            <w:r w:rsidRPr="009753F2">
              <w:rPr>
                <w:rFonts w:eastAsia="Times New Roman" w:cs="Book Antiqua"/>
                <w:b/>
                <w:color w:val="000000"/>
                <w:position w:val="8"/>
                <w:sz w:val="24"/>
                <w:szCs w:val="24"/>
                <w:vertAlign w:val="superscript"/>
                <w:lang w:eastAsia="en-GB"/>
              </w:rPr>
              <w:t>2</w:t>
            </w:r>
            <w:r w:rsidRPr="009753F2">
              <w:rPr>
                <w:rFonts w:eastAsia="Times New Roman" w:cs="Book Antiqua"/>
                <w:b/>
                <w:color w:val="000000"/>
                <w:sz w:val="24"/>
                <w:szCs w:val="24"/>
                <w:lang w:eastAsia="en-GB"/>
              </w:rPr>
              <w:t xml:space="preserve">/s </w:t>
            </w:r>
          </w:p>
        </w:tc>
        <w:tc>
          <w:tcPr>
            <w:tcW w:w="3156" w:type="dxa"/>
            <w:shd w:val="clear" w:color="auto" w:fill="B4C6E7"/>
          </w:tcPr>
          <w:p w:rsidR="00C45748" w:rsidRPr="009753F2" w:rsidRDefault="00454659" w:rsidP="00C60481">
            <w:pPr>
              <w:autoSpaceDE w:val="0"/>
              <w:autoSpaceDN w:val="0"/>
              <w:adjustRightInd w:val="0"/>
              <w:spacing w:after="0" w:line="240" w:lineRule="auto"/>
              <w:jc w:val="center"/>
              <w:rPr>
                <w:rFonts w:eastAsia="Times New Roman" w:cs="Book Antiqua"/>
                <w:color w:val="000000"/>
                <w:sz w:val="24"/>
                <w:szCs w:val="24"/>
                <w:lang w:eastAsia="en-GB"/>
              </w:rPr>
            </w:pPr>
            <w:r w:rsidRPr="009753F2">
              <w:rPr>
                <w:rFonts w:eastAsia="Times New Roman" w:cs="Book Antiqua"/>
                <w:color w:val="000000"/>
                <w:sz w:val="24"/>
                <w:szCs w:val="24"/>
                <w:lang w:eastAsia="en-GB"/>
              </w:rPr>
              <w:t>7.6</w:t>
            </w:r>
          </w:p>
        </w:tc>
      </w:tr>
      <w:tr w:rsidR="00454659" w:rsidRPr="009753F2" w:rsidTr="001937D2">
        <w:trPr>
          <w:gridBefore w:val="1"/>
          <w:gridAfter w:val="1"/>
          <w:wBefore w:w="392" w:type="dxa"/>
          <w:wAfter w:w="29" w:type="dxa"/>
          <w:trHeight w:val="295"/>
        </w:trPr>
        <w:tc>
          <w:tcPr>
            <w:tcW w:w="6766" w:type="dxa"/>
            <w:shd w:val="clear" w:color="auto" w:fill="B4C6E7"/>
          </w:tcPr>
          <w:p w:rsidR="00454659" w:rsidRPr="009753F2" w:rsidRDefault="00454659" w:rsidP="00C60481">
            <w:pPr>
              <w:autoSpaceDE w:val="0"/>
              <w:autoSpaceDN w:val="0"/>
              <w:adjustRightInd w:val="0"/>
              <w:spacing w:after="0" w:line="240" w:lineRule="auto"/>
              <w:rPr>
                <w:rFonts w:eastAsia="Times New Roman" w:cs="Book Antiqua"/>
                <w:b/>
                <w:color w:val="000000"/>
                <w:sz w:val="24"/>
                <w:szCs w:val="24"/>
                <w:lang w:eastAsia="en-GB"/>
              </w:rPr>
            </w:pPr>
            <w:r w:rsidRPr="009753F2">
              <w:rPr>
                <w:rFonts w:eastAsia="Times New Roman" w:cs="Book Antiqua"/>
                <w:b/>
                <w:color w:val="000000"/>
                <w:sz w:val="24"/>
                <w:szCs w:val="24"/>
                <w:lang w:eastAsia="en-GB"/>
              </w:rPr>
              <w:t>Viscosity Index</w:t>
            </w:r>
          </w:p>
        </w:tc>
        <w:tc>
          <w:tcPr>
            <w:tcW w:w="3156" w:type="dxa"/>
            <w:shd w:val="clear" w:color="auto" w:fill="D9E2F3"/>
          </w:tcPr>
          <w:p w:rsidR="00454659" w:rsidRPr="009753F2" w:rsidRDefault="00454659" w:rsidP="00F65A26">
            <w:pPr>
              <w:autoSpaceDE w:val="0"/>
              <w:autoSpaceDN w:val="0"/>
              <w:adjustRightInd w:val="0"/>
              <w:spacing w:after="0" w:line="240" w:lineRule="auto"/>
              <w:jc w:val="center"/>
              <w:rPr>
                <w:rFonts w:eastAsia="Times New Roman" w:cs="Book Antiqua"/>
                <w:color w:val="000000"/>
                <w:sz w:val="24"/>
                <w:szCs w:val="24"/>
                <w:lang w:eastAsia="en-GB"/>
              </w:rPr>
            </w:pPr>
            <w:r w:rsidRPr="009753F2">
              <w:rPr>
                <w:rFonts w:eastAsia="Times New Roman" w:cs="Book Antiqua"/>
                <w:color w:val="000000"/>
                <w:sz w:val="24"/>
                <w:szCs w:val="24"/>
                <w:lang w:eastAsia="en-GB"/>
              </w:rPr>
              <w:t>140</w:t>
            </w:r>
          </w:p>
        </w:tc>
      </w:tr>
      <w:tr w:rsidR="00C45748" w:rsidRPr="009753F2" w:rsidTr="001937D2">
        <w:trPr>
          <w:gridBefore w:val="1"/>
          <w:gridAfter w:val="1"/>
          <w:wBefore w:w="392" w:type="dxa"/>
          <w:wAfter w:w="29" w:type="dxa"/>
          <w:trHeight w:val="295"/>
        </w:trPr>
        <w:tc>
          <w:tcPr>
            <w:tcW w:w="6766" w:type="dxa"/>
            <w:shd w:val="clear" w:color="auto" w:fill="B4C6E7"/>
          </w:tcPr>
          <w:p w:rsidR="00C45748" w:rsidRPr="009753F2" w:rsidRDefault="00C45748" w:rsidP="00C60481">
            <w:pPr>
              <w:autoSpaceDE w:val="0"/>
              <w:autoSpaceDN w:val="0"/>
              <w:adjustRightInd w:val="0"/>
              <w:spacing w:after="0" w:line="240" w:lineRule="auto"/>
              <w:rPr>
                <w:rFonts w:eastAsia="Times New Roman" w:cs="Book Antiqua"/>
                <w:b/>
                <w:color w:val="000000"/>
                <w:sz w:val="24"/>
                <w:szCs w:val="24"/>
                <w:lang w:eastAsia="en-GB"/>
              </w:rPr>
            </w:pPr>
            <w:r w:rsidRPr="009753F2">
              <w:rPr>
                <w:rFonts w:eastAsia="Times New Roman" w:cs="Book Antiqua"/>
                <w:b/>
                <w:color w:val="000000"/>
                <w:sz w:val="24"/>
                <w:szCs w:val="24"/>
                <w:lang w:eastAsia="en-GB"/>
              </w:rPr>
              <w:t>Flash Point</w:t>
            </w:r>
            <w:r w:rsidR="00454659" w:rsidRPr="009753F2">
              <w:rPr>
                <w:rFonts w:eastAsia="Times New Roman" w:cs="Book Antiqua"/>
                <w:b/>
                <w:color w:val="000000"/>
                <w:sz w:val="24"/>
                <w:szCs w:val="24"/>
                <w:lang w:eastAsia="en-GB"/>
              </w:rPr>
              <w:t>, COC</w:t>
            </w:r>
            <w:r w:rsidR="002349AF" w:rsidRPr="009753F2">
              <w:rPr>
                <w:rFonts w:eastAsia="Times New Roman" w:cs="Book Antiqua"/>
                <w:b/>
                <w:color w:val="000000"/>
                <w:sz w:val="24"/>
                <w:szCs w:val="24"/>
                <w:lang w:eastAsia="en-GB"/>
              </w:rPr>
              <w:t xml:space="preserve"> </w:t>
            </w:r>
            <w:r w:rsidRPr="009753F2">
              <w:rPr>
                <w:rFonts w:eastAsia="Times New Roman" w:cs="Book Antiqua"/>
                <w:b/>
                <w:color w:val="000000"/>
                <w:sz w:val="24"/>
                <w:szCs w:val="24"/>
                <w:lang w:eastAsia="en-GB"/>
              </w:rPr>
              <w:t xml:space="preserve">°C </w:t>
            </w:r>
          </w:p>
        </w:tc>
        <w:tc>
          <w:tcPr>
            <w:tcW w:w="3156" w:type="dxa"/>
            <w:shd w:val="clear" w:color="auto" w:fill="D9E2F3"/>
          </w:tcPr>
          <w:p w:rsidR="00C45748" w:rsidRPr="009753F2" w:rsidRDefault="00294D53" w:rsidP="00454659">
            <w:pPr>
              <w:autoSpaceDE w:val="0"/>
              <w:autoSpaceDN w:val="0"/>
              <w:adjustRightInd w:val="0"/>
              <w:spacing w:after="0" w:line="240" w:lineRule="auto"/>
              <w:jc w:val="center"/>
              <w:rPr>
                <w:rFonts w:eastAsia="Times New Roman" w:cs="Book Antiqua"/>
                <w:color w:val="000000"/>
                <w:sz w:val="24"/>
                <w:szCs w:val="24"/>
                <w:lang w:eastAsia="en-GB"/>
              </w:rPr>
            </w:pPr>
            <w:r>
              <w:rPr>
                <w:rFonts w:eastAsia="Times New Roman" w:cs="Book Antiqua"/>
                <w:color w:val="000000"/>
                <w:sz w:val="24"/>
                <w:szCs w:val="24"/>
                <w:lang w:eastAsia="en-GB"/>
              </w:rPr>
              <w:t>280</w:t>
            </w:r>
          </w:p>
        </w:tc>
      </w:tr>
      <w:tr w:rsidR="00C45748" w:rsidRPr="009753F2" w:rsidTr="001937D2">
        <w:trPr>
          <w:gridBefore w:val="1"/>
          <w:gridAfter w:val="1"/>
          <w:wBefore w:w="392" w:type="dxa"/>
          <w:wAfter w:w="29" w:type="dxa"/>
          <w:trHeight w:val="295"/>
        </w:trPr>
        <w:tc>
          <w:tcPr>
            <w:tcW w:w="6766" w:type="dxa"/>
            <w:shd w:val="clear" w:color="auto" w:fill="B4C6E7"/>
          </w:tcPr>
          <w:p w:rsidR="00C45748" w:rsidRPr="009753F2" w:rsidRDefault="00C45748" w:rsidP="00C60481">
            <w:pPr>
              <w:autoSpaceDE w:val="0"/>
              <w:autoSpaceDN w:val="0"/>
              <w:adjustRightInd w:val="0"/>
              <w:spacing w:after="0" w:line="240" w:lineRule="auto"/>
              <w:rPr>
                <w:rFonts w:eastAsia="Times New Roman" w:cs="Book Antiqua"/>
                <w:b/>
                <w:color w:val="000000"/>
                <w:sz w:val="24"/>
                <w:szCs w:val="24"/>
                <w:lang w:eastAsia="en-GB"/>
              </w:rPr>
            </w:pPr>
            <w:r w:rsidRPr="009753F2">
              <w:rPr>
                <w:rFonts w:eastAsia="Times New Roman" w:cs="Book Antiqua"/>
                <w:b/>
                <w:color w:val="000000"/>
                <w:sz w:val="24"/>
                <w:szCs w:val="24"/>
                <w:lang w:eastAsia="en-GB"/>
              </w:rPr>
              <w:t>Pour Point</w:t>
            </w:r>
            <w:r w:rsidR="002349AF" w:rsidRPr="009753F2">
              <w:rPr>
                <w:rFonts w:eastAsia="Times New Roman" w:cs="Book Antiqua"/>
                <w:b/>
                <w:color w:val="000000"/>
                <w:sz w:val="24"/>
                <w:szCs w:val="24"/>
                <w:lang w:eastAsia="en-GB"/>
              </w:rPr>
              <w:t xml:space="preserve"> </w:t>
            </w:r>
            <w:r w:rsidRPr="009753F2">
              <w:rPr>
                <w:rFonts w:eastAsia="Times New Roman" w:cs="Book Antiqua"/>
                <w:b/>
                <w:color w:val="000000"/>
                <w:sz w:val="24"/>
                <w:szCs w:val="24"/>
                <w:lang w:eastAsia="en-GB"/>
              </w:rPr>
              <w:t xml:space="preserve">°C </w:t>
            </w:r>
          </w:p>
        </w:tc>
        <w:tc>
          <w:tcPr>
            <w:tcW w:w="3156" w:type="dxa"/>
            <w:shd w:val="clear" w:color="auto" w:fill="B4C6E7"/>
          </w:tcPr>
          <w:p w:rsidR="00C45748" w:rsidRPr="009753F2" w:rsidRDefault="00454659" w:rsidP="00454659">
            <w:pPr>
              <w:autoSpaceDE w:val="0"/>
              <w:autoSpaceDN w:val="0"/>
              <w:adjustRightInd w:val="0"/>
              <w:spacing w:after="0" w:line="240" w:lineRule="auto"/>
              <w:jc w:val="center"/>
              <w:rPr>
                <w:rFonts w:eastAsia="Times New Roman" w:cs="Book Antiqua"/>
                <w:color w:val="000000"/>
                <w:sz w:val="24"/>
                <w:szCs w:val="24"/>
                <w:lang w:eastAsia="en-GB"/>
              </w:rPr>
            </w:pPr>
            <w:r w:rsidRPr="009753F2">
              <w:rPr>
                <w:rFonts w:eastAsia="Times New Roman" w:cs="Book Antiqua"/>
                <w:color w:val="000000"/>
                <w:sz w:val="24"/>
                <w:szCs w:val="24"/>
                <w:lang w:eastAsia="en-GB"/>
              </w:rPr>
              <w:t>-24</w:t>
            </w:r>
          </w:p>
        </w:tc>
      </w:tr>
      <w:tr w:rsidR="00454659" w:rsidRPr="009753F2" w:rsidTr="001937D2">
        <w:trPr>
          <w:gridBefore w:val="1"/>
          <w:gridAfter w:val="1"/>
          <w:wBefore w:w="392" w:type="dxa"/>
          <w:wAfter w:w="29" w:type="dxa"/>
          <w:trHeight w:val="295"/>
        </w:trPr>
        <w:tc>
          <w:tcPr>
            <w:tcW w:w="6766" w:type="dxa"/>
            <w:shd w:val="clear" w:color="auto" w:fill="B4C6E7"/>
          </w:tcPr>
          <w:p w:rsidR="00454659" w:rsidRPr="009753F2" w:rsidRDefault="00454659" w:rsidP="00C60481">
            <w:pPr>
              <w:autoSpaceDE w:val="0"/>
              <w:autoSpaceDN w:val="0"/>
              <w:adjustRightInd w:val="0"/>
              <w:spacing w:after="0" w:line="240" w:lineRule="auto"/>
              <w:rPr>
                <w:rFonts w:eastAsia="Times New Roman" w:cs="Book Antiqua"/>
                <w:b/>
                <w:color w:val="000000"/>
                <w:sz w:val="24"/>
                <w:szCs w:val="24"/>
                <w:lang w:eastAsia="en-GB"/>
              </w:rPr>
            </w:pPr>
            <w:r w:rsidRPr="009753F2">
              <w:rPr>
                <w:rFonts w:eastAsia="Times New Roman" w:cs="Book Antiqua"/>
                <w:b/>
                <w:color w:val="000000"/>
                <w:sz w:val="24"/>
                <w:szCs w:val="24"/>
                <w:lang w:eastAsia="en-GB"/>
              </w:rPr>
              <w:t>Auto-ignition temperature °C</w:t>
            </w:r>
          </w:p>
        </w:tc>
        <w:tc>
          <w:tcPr>
            <w:tcW w:w="3156" w:type="dxa"/>
            <w:shd w:val="clear" w:color="auto" w:fill="B4C6E7"/>
          </w:tcPr>
          <w:p w:rsidR="00454659" w:rsidRPr="009753F2" w:rsidRDefault="00D037BE" w:rsidP="00454659">
            <w:pPr>
              <w:autoSpaceDE w:val="0"/>
              <w:autoSpaceDN w:val="0"/>
              <w:adjustRightInd w:val="0"/>
              <w:spacing w:after="0" w:line="240" w:lineRule="auto"/>
              <w:jc w:val="center"/>
              <w:rPr>
                <w:rFonts w:eastAsia="Times New Roman" w:cs="Book Antiqua"/>
                <w:color w:val="000000"/>
                <w:sz w:val="24"/>
                <w:szCs w:val="24"/>
                <w:lang w:eastAsia="en-GB"/>
              </w:rPr>
            </w:pPr>
            <w:r>
              <w:rPr>
                <w:rFonts w:eastAsia="Times New Roman" w:cs="Book Antiqua"/>
                <w:color w:val="000000"/>
                <w:sz w:val="24"/>
                <w:szCs w:val="24"/>
                <w:lang w:eastAsia="en-GB"/>
              </w:rPr>
              <w:t>390</w:t>
            </w:r>
          </w:p>
        </w:tc>
      </w:tr>
      <w:tr w:rsidR="00454659" w:rsidRPr="009753F2" w:rsidTr="001937D2">
        <w:trPr>
          <w:gridBefore w:val="1"/>
          <w:gridAfter w:val="1"/>
          <w:wBefore w:w="392" w:type="dxa"/>
          <w:wAfter w:w="29" w:type="dxa"/>
          <w:trHeight w:val="295"/>
        </w:trPr>
        <w:tc>
          <w:tcPr>
            <w:tcW w:w="6766" w:type="dxa"/>
            <w:shd w:val="clear" w:color="auto" w:fill="B4C6E7"/>
          </w:tcPr>
          <w:p w:rsidR="00454659" w:rsidRPr="009753F2" w:rsidRDefault="00454659" w:rsidP="00C60481">
            <w:pPr>
              <w:autoSpaceDE w:val="0"/>
              <w:autoSpaceDN w:val="0"/>
              <w:adjustRightInd w:val="0"/>
              <w:spacing w:after="0" w:line="240" w:lineRule="auto"/>
              <w:rPr>
                <w:rFonts w:eastAsia="Times New Roman" w:cs="Book Antiqua"/>
                <w:b/>
                <w:color w:val="000000"/>
                <w:sz w:val="24"/>
                <w:szCs w:val="24"/>
                <w:lang w:eastAsia="en-GB"/>
              </w:rPr>
            </w:pPr>
            <w:r w:rsidRPr="009753F2">
              <w:rPr>
                <w:rFonts w:eastAsia="Times New Roman" w:cs="Book Antiqua"/>
                <w:b/>
                <w:color w:val="000000"/>
                <w:sz w:val="24"/>
                <w:szCs w:val="24"/>
                <w:lang w:eastAsia="en-GB"/>
              </w:rPr>
              <w:t>Initial Boiling Point °C</w:t>
            </w:r>
          </w:p>
        </w:tc>
        <w:tc>
          <w:tcPr>
            <w:tcW w:w="3156" w:type="dxa"/>
            <w:shd w:val="clear" w:color="auto" w:fill="B4C6E7"/>
          </w:tcPr>
          <w:p w:rsidR="00454659" w:rsidRPr="009753F2" w:rsidRDefault="00294D53" w:rsidP="00454659">
            <w:pPr>
              <w:autoSpaceDE w:val="0"/>
              <w:autoSpaceDN w:val="0"/>
              <w:adjustRightInd w:val="0"/>
              <w:spacing w:after="0" w:line="240" w:lineRule="auto"/>
              <w:jc w:val="center"/>
              <w:rPr>
                <w:rFonts w:eastAsia="Times New Roman" w:cs="Book Antiqua"/>
                <w:color w:val="000000"/>
                <w:sz w:val="24"/>
                <w:szCs w:val="24"/>
                <w:lang w:eastAsia="en-GB"/>
              </w:rPr>
            </w:pPr>
            <w:r>
              <w:rPr>
                <w:rFonts w:eastAsia="Times New Roman" w:cs="Book Antiqua"/>
                <w:color w:val="000000"/>
                <w:sz w:val="24"/>
                <w:szCs w:val="24"/>
                <w:lang w:eastAsia="en-GB"/>
              </w:rPr>
              <w:t>440</w:t>
            </w:r>
          </w:p>
        </w:tc>
      </w:tr>
      <w:tr w:rsidR="00454659" w:rsidRPr="009753F2" w:rsidTr="001937D2">
        <w:trPr>
          <w:gridBefore w:val="1"/>
          <w:gridAfter w:val="1"/>
          <w:wBefore w:w="392" w:type="dxa"/>
          <w:wAfter w:w="29" w:type="dxa"/>
          <w:trHeight w:val="295"/>
        </w:trPr>
        <w:tc>
          <w:tcPr>
            <w:tcW w:w="6766" w:type="dxa"/>
            <w:shd w:val="clear" w:color="auto" w:fill="B4C6E7"/>
          </w:tcPr>
          <w:p w:rsidR="00454659" w:rsidRPr="009753F2" w:rsidRDefault="00454659" w:rsidP="00C60481">
            <w:pPr>
              <w:autoSpaceDE w:val="0"/>
              <w:autoSpaceDN w:val="0"/>
              <w:adjustRightInd w:val="0"/>
              <w:spacing w:after="0" w:line="240" w:lineRule="auto"/>
              <w:rPr>
                <w:rFonts w:eastAsia="Times New Roman" w:cs="Book Antiqua"/>
                <w:b/>
                <w:color w:val="000000"/>
                <w:sz w:val="24"/>
                <w:szCs w:val="24"/>
                <w:lang w:eastAsia="en-GB"/>
              </w:rPr>
            </w:pPr>
            <w:r w:rsidRPr="009753F2">
              <w:rPr>
                <w:rFonts w:eastAsia="Times New Roman" w:cs="Book Antiqua"/>
                <w:b/>
                <w:color w:val="000000"/>
                <w:sz w:val="24"/>
                <w:szCs w:val="24"/>
                <w:lang w:eastAsia="en-GB"/>
              </w:rPr>
              <w:t>Noak Volatility ASTM D 5800</w:t>
            </w:r>
          </w:p>
        </w:tc>
        <w:tc>
          <w:tcPr>
            <w:tcW w:w="3156" w:type="dxa"/>
            <w:shd w:val="clear" w:color="auto" w:fill="B4C6E7"/>
          </w:tcPr>
          <w:p w:rsidR="00454659" w:rsidRPr="009753F2" w:rsidRDefault="00454659" w:rsidP="00454659">
            <w:pPr>
              <w:autoSpaceDE w:val="0"/>
              <w:autoSpaceDN w:val="0"/>
              <w:adjustRightInd w:val="0"/>
              <w:spacing w:after="0" w:line="240" w:lineRule="auto"/>
              <w:jc w:val="center"/>
              <w:rPr>
                <w:rFonts w:eastAsia="Times New Roman" w:cs="Book Antiqua"/>
                <w:color w:val="000000"/>
                <w:sz w:val="24"/>
                <w:szCs w:val="24"/>
                <w:lang w:eastAsia="en-GB"/>
              </w:rPr>
            </w:pPr>
            <w:r w:rsidRPr="009753F2">
              <w:rPr>
                <w:rFonts w:eastAsia="Times New Roman" w:cs="Book Antiqua"/>
                <w:color w:val="000000"/>
                <w:sz w:val="24"/>
                <w:szCs w:val="24"/>
                <w:lang w:eastAsia="en-GB"/>
              </w:rPr>
              <w:t>2.0</w:t>
            </w:r>
          </w:p>
        </w:tc>
      </w:tr>
      <w:tr w:rsidR="00454659" w:rsidRPr="009753F2" w:rsidTr="001937D2">
        <w:trPr>
          <w:gridBefore w:val="1"/>
          <w:gridAfter w:val="1"/>
          <w:wBefore w:w="392" w:type="dxa"/>
          <w:wAfter w:w="29" w:type="dxa"/>
          <w:trHeight w:val="295"/>
        </w:trPr>
        <w:tc>
          <w:tcPr>
            <w:tcW w:w="6766" w:type="dxa"/>
            <w:shd w:val="clear" w:color="auto" w:fill="B4C6E7"/>
          </w:tcPr>
          <w:p w:rsidR="00454659" w:rsidRPr="009753F2" w:rsidRDefault="00454659" w:rsidP="00C60481">
            <w:pPr>
              <w:autoSpaceDE w:val="0"/>
              <w:autoSpaceDN w:val="0"/>
              <w:adjustRightInd w:val="0"/>
              <w:spacing w:after="0" w:line="240" w:lineRule="auto"/>
              <w:rPr>
                <w:rFonts w:eastAsia="Times New Roman" w:cs="Book Antiqua"/>
                <w:b/>
                <w:color w:val="000000"/>
                <w:sz w:val="24"/>
                <w:szCs w:val="24"/>
                <w:lang w:eastAsia="en-GB"/>
              </w:rPr>
            </w:pPr>
            <w:r w:rsidRPr="009753F2">
              <w:rPr>
                <w:rFonts w:eastAsia="Times New Roman" w:cs="Book Antiqua"/>
                <w:b/>
                <w:color w:val="000000"/>
                <w:sz w:val="24"/>
                <w:szCs w:val="24"/>
                <w:lang w:eastAsia="en-GB"/>
              </w:rPr>
              <w:t>Vapour Pressure @ 20°C</w:t>
            </w:r>
          </w:p>
        </w:tc>
        <w:tc>
          <w:tcPr>
            <w:tcW w:w="3156" w:type="dxa"/>
            <w:shd w:val="clear" w:color="auto" w:fill="B4C6E7"/>
          </w:tcPr>
          <w:p w:rsidR="00454659" w:rsidRPr="009753F2" w:rsidRDefault="00454659" w:rsidP="00454659">
            <w:pPr>
              <w:autoSpaceDE w:val="0"/>
              <w:autoSpaceDN w:val="0"/>
              <w:adjustRightInd w:val="0"/>
              <w:spacing w:after="0" w:line="240" w:lineRule="auto"/>
              <w:jc w:val="center"/>
              <w:rPr>
                <w:rFonts w:eastAsia="Times New Roman" w:cs="Book Antiqua"/>
                <w:color w:val="000000"/>
                <w:sz w:val="24"/>
                <w:szCs w:val="24"/>
                <w:lang w:eastAsia="en-GB"/>
              </w:rPr>
            </w:pPr>
            <w:r w:rsidRPr="009753F2">
              <w:rPr>
                <w:rFonts w:eastAsia="Times New Roman" w:cs="Book Antiqua"/>
                <w:color w:val="000000"/>
                <w:sz w:val="24"/>
                <w:szCs w:val="24"/>
                <w:lang w:eastAsia="en-GB"/>
              </w:rPr>
              <w:t>&lt;0.5Pa</w:t>
            </w:r>
          </w:p>
        </w:tc>
      </w:tr>
      <w:tr w:rsidR="007A3084" w:rsidRPr="009753F2" w:rsidTr="001937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343" w:type="dxa"/>
            <w:gridSpan w:val="4"/>
            <w:shd w:val="clear" w:color="auto" w:fill="0070C0"/>
          </w:tcPr>
          <w:p w:rsidR="007A3084" w:rsidRPr="009753F2" w:rsidRDefault="007A3084" w:rsidP="001937D2">
            <w:pPr>
              <w:autoSpaceDE w:val="0"/>
              <w:autoSpaceDN w:val="0"/>
              <w:adjustRightInd w:val="0"/>
              <w:spacing w:after="0" w:line="240" w:lineRule="auto"/>
              <w:rPr>
                <w:rFonts w:eastAsia="Times New Roman" w:cs="Book Antiqua"/>
                <w:b/>
                <w:color w:val="000000"/>
                <w:sz w:val="28"/>
                <w:szCs w:val="28"/>
                <w:lang w:eastAsia="en-GB"/>
              </w:rPr>
            </w:pPr>
            <w:r>
              <w:rPr>
                <w:rFonts w:eastAsia="Times New Roman" w:cs="Book Antiqua"/>
                <w:b/>
                <w:color w:val="FFFFFF" w:themeColor="background1"/>
                <w:sz w:val="28"/>
                <w:szCs w:val="28"/>
                <w:lang w:eastAsia="en-GB"/>
              </w:rPr>
              <w:lastRenderedPageBreak/>
              <w:t>THERMAL DESIGN DATA</w:t>
            </w:r>
          </w:p>
        </w:tc>
      </w:tr>
    </w:tbl>
    <w:p w:rsidR="00F453C8" w:rsidRDefault="00F453C8" w:rsidP="001937D2">
      <w:pPr>
        <w:spacing w:after="0" w:line="240" w:lineRule="auto"/>
        <w:rPr>
          <w:rFonts w:eastAsia="Times New Roman"/>
          <w:b/>
          <w:sz w:val="24"/>
          <w:szCs w:val="24"/>
        </w:rPr>
        <w:sectPr w:rsidR="00F453C8" w:rsidSect="00395F5F">
          <w:type w:val="continuous"/>
          <w:pgSz w:w="11906" w:h="16838"/>
          <w:pgMar w:top="720" w:right="720" w:bottom="720" w:left="720" w:header="709" w:footer="709" w:gutter="0"/>
          <w:pgBorders w:offsetFrom="page">
            <w:top w:val="single" w:sz="18" w:space="24" w:color="000080"/>
            <w:left w:val="single" w:sz="18" w:space="24" w:color="000080"/>
            <w:bottom w:val="single" w:sz="18" w:space="24" w:color="000080"/>
            <w:right w:val="single" w:sz="18" w:space="24" w:color="000080"/>
          </w:pgBorders>
          <w:cols w:space="708"/>
          <w:docGrid w:linePitch="360"/>
        </w:sectPr>
      </w:pPr>
    </w:p>
    <w:p w:rsidR="00395F5F" w:rsidRDefault="00395F5F" w:rsidP="001937D2">
      <w:pPr>
        <w:spacing w:after="0" w:line="240" w:lineRule="auto"/>
        <w:rPr>
          <w:rFonts w:eastAsia="Times New Roman"/>
          <w:b/>
          <w:sz w:val="24"/>
          <w:szCs w:val="24"/>
        </w:rPr>
        <w:sectPr w:rsidR="00395F5F" w:rsidSect="00395F5F">
          <w:type w:val="continuous"/>
          <w:pgSz w:w="11906" w:h="16838"/>
          <w:pgMar w:top="720" w:right="720" w:bottom="720" w:left="720" w:header="709" w:footer="709" w:gutter="0"/>
          <w:pgBorders w:offsetFrom="page">
            <w:top w:val="single" w:sz="18" w:space="24" w:color="000080"/>
            <w:left w:val="single" w:sz="18" w:space="24" w:color="000080"/>
            <w:bottom w:val="single" w:sz="18" w:space="24" w:color="000080"/>
            <w:right w:val="single" w:sz="18" w:space="24" w:color="000080"/>
          </w:pgBorders>
          <w:cols w:space="708"/>
          <w:docGrid w:linePitch="360"/>
        </w:sectPr>
      </w:pPr>
    </w:p>
    <w:tbl>
      <w:tblPr>
        <w:tblStyle w:val="TableGrid"/>
        <w:tblW w:w="0" w:type="auto"/>
        <w:tblLook w:val="04A0" w:firstRow="1" w:lastRow="0" w:firstColumn="1" w:lastColumn="0" w:noHBand="0" w:noVBand="1"/>
      </w:tblPr>
      <w:tblGrid>
        <w:gridCol w:w="1516"/>
        <w:gridCol w:w="743"/>
        <w:gridCol w:w="743"/>
        <w:gridCol w:w="743"/>
        <w:gridCol w:w="743"/>
        <w:gridCol w:w="743"/>
        <w:gridCol w:w="743"/>
        <w:gridCol w:w="743"/>
        <w:gridCol w:w="743"/>
        <w:gridCol w:w="744"/>
        <w:gridCol w:w="744"/>
        <w:gridCol w:w="744"/>
        <w:gridCol w:w="744"/>
      </w:tblGrid>
      <w:tr w:rsidR="00EE354C" w:rsidTr="00EE354C">
        <w:tc>
          <w:tcPr>
            <w:tcW w:w="1524" w:type="dxa"/>
            <w:tcBorders>
              <w:top w:val="single" w:sz="12" w:space="0" w:color="auto"/>
              <w:left w:val="single" w:sz="12" w:space="0" w:color="auto"/>
              <w:bottom w:val="single" w:sz="12" w:space="0" w:color="auto"/>
              <w:right w:val="single" w:sz="12" w:space="0" w:color="0070C0"/>
            </w:tcBorders>
          </w:tcPr>
          <w:p w:rsidR="001937D2" w:rsidRPr="00EE354C" w:rsidRDefault="001937D2" w:rsidP="00EE354C">
            <w:pPr>
              <w:spacing w:after="0" w:line="240" w:lineRule="auto"/>
              <w:rPr>
                <w:rFonts w:eastAsia="Times New Roman"/>
                <w:b/>
                <w:sz w:val="24"/>
                <w:szCs w:val="24"/>
              </w:rPr>
            </w:pPr>
            <w:r w:rsidRPr="00EE354C">
              <w:rPr>
                <w:rFonts w:eastAsia="Times New Roman"/>
                <w:b/>
                <w:sz w:val="24"/>
                <w:szCs w:val="24"/>
              </w:rPr>
              <w:lastRenderedPageBreak/>
              <w:t>Temp</w:t>
            </w:r>
            <w:r w:rsidR="00EE354C" w:rsidRPr="00EE354C">
              <w:rPr>
                <w:rFonts w:eastAsia="Times New Roman"/>
                <w:b/>
                <w:sz w:val="24"/>
                <w:szCs w:val="24"/>
              </w:rPr>
              <w:t>.</w:t>
            </w:r>
            <w:r w:rsidRPr="00EE354C">
              <w:rPr>
                <w:rFonts w:eastAsia="Times New Roman"/>
                <w:b/>
                <w:sz w:val="24"/>
                <w:szCs w:val="24"/>
              </w:rPr>
              <w:t xml:space="preserve"> °C:</w:t>
            </w:r>
          </w:p>
        </w:tc>
        <w:tc>
          <w:tcPr>
            <w:tcW w:w="744" w:type="dxa"/>
            <w:tcBorders>
              <w:top w:val="single" w:sz="12" w:space="0" w:color="auto"/>
              <w:left w:val="single" w:sz="12" w:space="0" w:color="0070C0"/>
              <w:bottom w:val="single" w:sz="12" w:space="0" w:color="auto"/>
              <w:right w:val="single" w:sz="12" w:space="0" w:color="0070C0"/>
            </w:tcBorders>
          </w:tcPr>
          <w:p w:rsidR="001937D2" w:rsidRDefault="001937D2" w:rsidP="00F20936">
            <w:pPr>
              <w:spacing w:after="0" w:line="240" w:lineRule="auto"/>
              <w:jc w:val="center"/>
              <w:rPr>
                <w:rFonts w:eastAsia="Times New Roman"/>
                <w:b/>
                <w:sz w:val="24"/>
                <w:szCs w:val="24"/>
              </w:rPr>
            </w:pPr>
            <w:r>
              <w:rPr>
                <w:rFonts w:eastAsia="Times New Roman"/>
                <w:b/>
                <w:sz w:val="24"/>
                <w:szCs w:val="24"/>
              </w:rPr>
              <w:t>-20</w:t>
            </w:r>
          </w:p>
        </w:tc>
        <w:tc>
          <w:tcPr>
            <w:tcW w:w="744" w:type="dxa"/>
            <w:tcBorders>
              <w:top w:val="single" w:sz="12" w:space="0" w:color="auto"/>
              <w:left w:val="single" w:sz="12" w:space="0" w:color="0070C0"/>
              <w:bottom w:val="single" w:sz="12" w:space="0" w:color="auto"/>
              <w:right w:val="single" w:sz="12" w:space="0" w:color="0070C0"/>
            </w:tcBorders>
          </w:tcPr>
          <w:p w:rsidR="001937D2" w:rsidRDefault="001937D2" w:rsidP="00F20936">
            <w:pPr>
              <w:spacing w:after="0" w:line="240" w:lineRule="auto"/>
              <w:jc w:val="center"/>
              <w:rPr>
                <w:rFonts w:eastAsia="Times New Roman"/>
                <w:b/>
                <w:sz w:val="24"/>
                <w:szCs w:val="24"/>
              </w:rPr>
            </w:pPr>
            <w:r>
              <w:rPr>
                <w:rFonts w:eastAsia="Times New Roman"/>
                <w:b/>
                <w:sz w:val="24"/>
                <w:szCs w:val="24"/>
              </w:rPr>
              <w:t>0</w:t>
            </w:r>
          </w:p>
        </w:tc>
        <w:tc>
          <w:tcPr>
            <w:tcW w:w="744" w:type="dxa"/>
            <w:tcBorders>
              <w:top w:val="single" w:sz="12" w:space="0" w:color="auto"/>
              <w:left w:val="single" w:sz="12" w:space="0" w:color="0070C0"/>
              <w:bottom w:val="single" w:sz="12" w:space="0" w:color="auto"/>
              <w:right w:val="single" w:sz="12" w:space="0" w:color="0070C0"/>
            </w:tcBorders>
          </w:tcPr>
          <w:p w:rsidR="001937D2" w:rsidRDefault="001937D2" w:rsidP="00F20936">
            <w:pPr>
              <w:spacing w:after="0" w:line="240" w:lineRule="auto"/>
              <w:jc w:val="center"/>
              <w:rPr>
                <w:rFonts w:eastAsia="Times New Roman"/>
                <w:b/>
                <w:sz w:val="24"/>
                <w:szCs w:val="24"/>
              </w:rPr>
            </w:pPr>
            <w:r>
              <w:rPr>
                <w:rFonts w:eastAsia="Times New Roman"/>
                <w:b/>
                <w:sz w:val="24"/>
                <w:szCs w:val="24"/>
              </w:rPr>
              <w:t>20</w:t>
            </w:r>
          </w:p>
        </w:tc>
        <w:tc>
          <w:tcPr>
            <w:tcW w:w="744" w:type="dxa"/>
            <w:tcBorders>
              <w:top w:val="single" w:sz="12" w:space="0" w:color="auto"/>
              <w:left w:val="single" w:sz="12" w:space="0" w:color="0070C0"/>
              <w:bottom w:val="single" w:sz="12" w:space="0" w:color="auto"/>
              <w:right w:val="single" w:sz="12" w:space="0" w:color="0070C0"/>
            </w:tcBorders>
          </w:tcPr>
          <w:p w:rsidR="001937D2" w:rsidRDefault="001937D2" w:rsidP="00F20936">
            <w:pPr>
              <w:spacing w:after="0" w:line="240" w:lineRule="auto"/>
              <w:jc w:val="center"/>
              <w:rPr>
                <w:rFonts w:eastAsia="Times New Roman"/>
                <w:b/>
                <w:sz w:val="24"/>
                <w:szCs w:val="24"/>
              </w:rPr>
            </w:pPr>
            <w:r>
              <w:rPr>
                <w:rFonts w:eastAsia="Times New Roman"/>
                <w:b/>
                <w:sz w:val="24"/>
                <w:szCs w:val="24"/>
              </w:rPr>
              <w:t>40</w:t>
            </w:r>
          </w:p>
        </w:tc>
        <w:tc>
          <w:tcPr>
            <w:tcW w:w="744" w:type="dxa"/>
            <w:tcBorders>
              <w:top w:val="single" w:sz="12" w:space="0" w:color="auto"/>
              <w:left w:val="single" w:sz="12" w:space="0" w:color="0070C0"/>
              <w:bottom w:val="single" w:sz="12" w:space="0" w:color="auto"/>
              <w:right w:val="single" w:sz="12" w:space="0" w:color="0070C0"/>
            </w:tcBorders>
          </w:tcPr>
          <w:p w:rsidR="001937D2" w:rsidRDefault="001937D2" w:rsidP="00F20936">
            <w:pPr>
              <w:spacing w:after="0" w:line="240" w:lineRule="auto"/>
              <w:jc w:val="center"/>
              <w:rPr>
                <w:rFonts w:eastAsia="Times New Roman"/>
                <w:b/>
                <w:sz w:val="24"/>
                <w:szCs w:val="24"/>
              </w:rPr>
            </w:pPr>
            <w:r>
              <w:rPr>
                <w:rFonts w:eastAsia="Times New Roman"/>
                <w:b/>
                <w:sz w:val="24"/>
                <w:szCs w:val="24"/>
              </w:rPr>
              <w:t>100</w:t>
            </w:r>
          </w:p>
        </w:tc>
        <w:tc>
          <w:tcPr>
            <w:tcW w:w="744" w:type="dxa"/>
            <w:tcBorders>
              <w:top w:val="single" w:sz="12" w:space="0" w:color="auto"/>
              <w:left w:val="single" w:sz="12" w:space="0" w:color="0070C0"/>
              <w:bottom w:val="single" w:sz="12" w:space="0" w:color="auto"/>
              <w:right w:val="single" w:sz="12" w:space="0" w:color="0070C0"/>
            </w:tcBorders>
          </w:tcPr>
          <w:p w:rsidR="001937D2" w:rsidRDefault="001937D2" w:rsidP="00F20936">
            <w:pPr>
              <w:spacing w:after="0" w:line="240" w:lineRule="auto"/>
              <w:jc w:val="center"/>
              <w:rPr>
                <w:rFonts w:eastAsia="Times New Roman"/>
                <w:b/>
                <w:sz w:val="24"/>
                <w:szCs w:val="24"/>
              </w:rPr>
            </w:pPr>
            <w:r>
              <w:rPr>
                <w:rFonts w:eastAsia="Times New Roman"/>
                <w:b/>
                <w:sz w:val="24"/>
                <w:szCs w:val="24"/>
              </w:rPr>
              <w:t>150</w:t>
            </w:r>
          </w:p>
        </w:tc>
        <w:tc>
          <w:tcPr>
            <w:tcW w:w="744" w:type="dxa"/>
            <w:tcBorders>
              <w:top w:val="single" w:sz="12" w:space="0" w:color="auto"/>
              <w:left w:val="single" w:sz="12" w:space="0" w:color="0070C0"/>
              <w:bottom w:val="single" w:sz="12" w:space="0" w:color="auto"/>
              <w:right w:val="single" w:sz="12" w:space="0" w:color="0070C0"/>
            </w:tcBorders>
          </w:tcPr>
          <w:p w:rsidR="001937D2" w:rsidRDefault="001937D2" w:rsidP="00F20936">
            <w:pPr>
              <w:spacing w:after="0" w:line="240" w:lineRule="auto"/>
              <w:jc w:val="center"/>
              <w:rPr>
                <w:rFonts w:eastAsia="Times New Roman"/>
                <w:b/>
                <w:sz w:val="24"/>
                <w:szCs w:val="24"/>
              </w:rPr>
            </w:pPr>
            <w:r>
              <w:rPr>
                <w:rFonts w:eastAsia="Times New Roman"/>
                <w:b/>
                <w:sz w:val="24"/>
                <w:szCs w:val="24"/>
              </w:rPr>
              <w:t>200</w:t>
            </w:r>
          </w:p>
        </w:tc>
        <w:tc>
          <w:tcPr>
            <w:tcW w:w="744" w:type="dxa"/>
            <w:tcBorders>
              <w:top w:val="single" w:sz="12" w:space="0" w:color="auto"/>
              <w:left w:val="single" w:sz="12" w:space="0" w:color="0070C0"/>
              <w:bottom w:val="single" w:sz="12" w:space="0" w:color="auto"/>
              <w:right w:val="single" w:sz="12" w:space="0" w:color="0070C0"/>
            </w:tcBorders>
          </w:tcPr>
          <w:p w:rsidR="001937D2" w:rsidRDefault="001937D2" w:rsidP="00F20936">
            <w:pPr>
              <w:spacing w:after="0" w:line="240" w:lineRule="auto"/>
              <w:jc w:val="center"/>
              <w:rPr>
                <w:rFonts w:eastAsia="Times New Roman"/>
                <w:b/>
                <w:sz w:val="24"/>
                <w:szCs w:val="24"/>
              </w:rPr>
            </w:pPr>
            <w:r>
              <w:rPr>
                <w:rFonts w:eastAsia="Times New Roman"/>
                <w:b/>
                <w:sz w:val="24"/>
                <w:szCs w:val="24"/>
              </w:rPr>
              <w:t>250</w:t>
            </w:r>
          </w:p>
        </w:tc>
        <w:tc>
          <w:tcPr>
            <w:tcW w:w="745" w:type="dxa"/>
            <w:tcBorders>
              <w:top w:val="single" w:sz="12" w:space="0" w:color="auto"/>
              <w:left w:val="single" w:sz="12" w:space="0" w:color="0070C0"/>
              <w:bottom w:val="single" w:sz="12" w:space="0" w:color="auto"/>
              <w:right w:val="single" w:sz="12" w:space="0" w:color="0070C0"/>
            </w:tcBorders>
          </w:tcPr>
          <w:p w:rsidR="001937D2" w:rsidRDefault="001937D2" w:rsidP="00F20936">
            <w:pPr>
              <w:spacing w:after="0" w:line="240" w:lineRule="auto"/>
              <w:jc w:val="center"/>
              <w:rPr>
                <w:rFonts w:eastAsia="Times New Roman"/>
                <w:b/>
                <w:sz w:val="24"/>
                <w:szCs w:val="24"/>
              </w:rPr>
            </w:pPr>
            <w:r>
              <w:rPr>
                <w:rFonts w:eastAsia="Times New Roman"/>
                <w:b/>
                <w:sz w:val="24"/>
                <w:szCs w:val="24"/>
              </w:rPr>
              <w:t>280</w:t>
            </w:r>
          </w:p>
        </w:tc>
        <w:tc>
          <w:tcPr>
            <w:tcW w:w="745" w:type="dxa"/>
            <w:tcBorders>
              <w:top w:val="single" w:sz="12" w:space="0" w:color="auto"/>
              <w:left w:val="single" w:sz="12" w:space="0" w:color="0070C0"/>
              <w:bottom w:val="single" w:sz="12" w:space="0" w:color="auto"/>
              <w:right w:val="single" w:sz="12" w:space="0" w:color="0070C0"/>
            </w:tcBorders>
          </w:tcPr>
          <w:p w:rsidR="001937D2" w:rsidRDefault="001937D2" w:rsidP="00F20936">
            <w:pPr>
              <w:spacing w:after="0" w:line="240" w:lineRule="auto"/>
              <w:jc w:val="center"/>
              <w:rPr>
                <w:rFonts w:eastAsia="Times New Roman"/>
                <w:b/>
                <w:sz w:val="24"/>
                <w:szCs w:val="24"/>
              </w:rPr>
            </w:pPr>
            <w:r>
              <w:rPr>
                <w:rFonts w:eastAsia="Times New Roman"/>
                <w:b/>
                <w:sz w:val="24"/>
                <w:szCs w:val="24"/>
              </w:rPr>
              <w:t>300</w:t>
            </w:r>
          </w:p>
        </w:tc>
        <w:tc>
          <w:tcPr>
            <w:tcW w:w="745" w:type="dxa"/>
            <w:tcBorders>
              <w:top w:val="single" w:sz="12" w:space="0" w:color="auto"/>
              <w:left w:val="single" w:sz="12" w:space="0" w:color="0070C0"/>
              <w:bottom w:val="single" w:sz="12" w:space="0" w:color="auto"/>
              <w:right w:val="single" w:sz="12" w:space="0" w:color="0070C0"/>
            </w:tcBorders>
          </w:tcPr>
          <w:p w:rsidR="001937D2" w:rsidRDefault="001937D2" w:rsidP="00F20936">
            <w:pPr>
              <w:spacing w:after="0" w:line="240" w:lineRule="auto"/>
              <w:jc w:val="center"/>
              <w:rPr>
                <w:rFonts w:eastAsia="Times New Roman"/>
                <w:b/>
                <w:sz w:val="24"/>
                <w:szCs w:val="24"/>
              </w:rPr>
            </w:pPr>
            <w:r>
              <w:rPr>
                <w:rFonts w:eastAsia="Times New Roman"/>
                <w:b/>
                <w:sz w:val="24"/>
                <w:szCs w:val="24"/>
              </w:rPr>
              <w:t>310</w:t>
            </w:r>
          </w:p>
        </w:tc>
        <w:tc>
          <w:tcPr>
            <w:tcW w:w="745" w:type="dxa"/>
            <w:tcBorders>
              <w:top w:val="single" w:sz="12" w:space="0" w:color="auto"/>
              <w:left w:val="single" w:sz="12" w:space="0" w:color="0070C0"/>
              <w:bottom w:val="single" w:sz="12" w:space="0" w:color="auto"/>
              <w:right w:val="single" w:sz="12" w:space="0" w:color="auto"/>
            </w:tcBorders>
          </w:tcPr>
          <w:p w:rsidR="001937D2" w:rsidRDefault="001937D2" w:rsidP="00F20936">
            <w:pPr>
              <w:spacing w:after="0" w:line="240" w:lineRule="auto"/>
              <w:jc w:val="center"/>
              <w:rPr>
                <w:rFonts w:eastAsia="Times New Roman"/>
                <w:b/>
                <w:sz w:val="24"/>
                <w:szCs w:val="24"/>
              </w:rPr>
            </w:pPr>
            <w:r>
              <w:rPr>
                <w:rFonts w:eastAsia="Times New Roman"/>
                <w:b/>
                <w:sz w:val="24"/>
                <w:szCs w:val="24"/>
              </w:rPr>
              <w:t>340</w:t>
            </w:r>
          </w:p>
        </w:tc>
      </w:tr>
      <w:tr w:rsidR="00EE354C" w:rsidTr="00EE354C">
        <w:tc>
          <w:tcPr>
            <w:tcW w:w="1524" w:type="dxa"/>
            <w:tcBorders>
              <w:top w:val="single" w:sz="12" w:space="0" w:color="auto"/>
              <w:left w:val="single" w:sz="12" w:space="0" w:color="auto"/>
              <w:bottom w:val="single" w:sz="12" w:space="0" w:color="0070C0"/>
              <w:right w:val="single" w:sz="12" w:space="0" w:color="0070C0"/>
            </w:tcBorders>
          </w:tcPr>
          <w:p w:rsidR="001937D2" w:rsidRPr="00F20936" w:rsidRDefault="001937D2" w:rsidP="00F20936">
            <w:pPr>
              <w:spacing w:after="0" w:line="240" w:lineRule="auto"/>
              <w:rPr>
                <w:rFonts w:eastAsia="Times New Roman"/>
                <w:b/>
              </w:rPr>
            </w:pPr>
            <w:r w:rsidRPr="00F20936">
              <w:rPr>
                <w:rFonts w:eastAsia="Times New Roman"/>
                <w:b/>
              </w:rPr>
              <w:t>Density kg</w:t>
            </w:r>
            <w:r w:rsidR="00F20936" w:rsidRPr="00F20936">
              <w:rPr>
                <w:rFonts w:eastAsia="Times New Roman"/>
                <w:b/>
              </w:rPr>
              <w:t>.</w:t>
            </w:r>
            <w:r w:rsidRPr="00F20936">
              <w:rPr>
                <w:rFonts w:eastAsia="Times New Roman"/>
                <w:b/>
              </w:rPr>
              <w:t>/</w:t>
            </w:r>
            <w:r w:rsidR="00F20936" w:rsidRPr="00F20936">
              <w:rPr>
                <w:rFonts w:eastAsia="Times New Roman"/>
                <w:b/>
              </w:rPr>
              <w:t>m3</w:t>
            </w:r>
          </w:p>
        </w:tc>
        <w:tc>
          <w:tcPr>
            <w:tcW w:w="744" w:type="dxa"/>
            <w:tcBorders>
              <w:top w:val="single" w:sz="12" w:space="0" w:color="auto"/>
              <w:left w:val="single" w:sz="12" w:space="0" w:color="0070C0"/>
              <w:bottom w:val="single" w:sz="12" w:space="0" w:color="0070C0"/>
              <w:right w:val="single" w:sz="12" w:space="0" w:color="0070C0"/>
            </w:tcBorders>
            <w:vAlign w:val="center"/>
          </w:tcPr>
          <w:p w:rsidR="001937D2" w:rsidRPr="00F20936" w:rsidRDefault="00F20936" w:rsidP="00EE354C">
            <w:pPr>
              <w:spacing w:after="0" w:line="240" w:lineRule="auto"/>
              <w:jc w:val="center"/>
              <w:rPr>
                <w:rFonts w:eastAsia="Times New Roman"/>
              </w:rPr>
            </w:pPr>
            <w:r w:rsidRPr="00F20936">
              <w:rPr>
                <w:rFonts w:eastAsia="Times New Roman"/>
              </w:rPr>
              <w:t>851</w:t>
            </w:r>
          </w:p>
        </w:tc>
        <w:tc>
          <w:tcPr>
            <w:tcW w:w="744" w:type="dxa"/>
            <w:tcBorders>
              <w:top w:val="single" w:sz="12" w:space="0" w:color="auto"/>
              <w:left w:val="single" w:sz="12" w:space="0" w:color="0070C0"/>
              <w:bottom w:val="single" w:sz="12" w:space="0" w:color="0070C0"/>
              <w:right w:val="single" w:sz="12" w:space="0" w:color="0070C0"/>
            </w:tcBorders>
            <w:vAlign w:val="center"/>
          </w:tcPr>
          <w:p w:rsidR="001937D2" w:rsidRPr="00F20936" w:rsidRDefault="00F20936" w:rsidP="00EE354C">
            <w:pPr>
              <w:spacing w:after="0" w:line="240" w:lineRule="auto"/>
              <w:jc w:val="center"/>
              <w:rPr>
                <w:rFonts w:eastAsia="Times New Roman"/>
              </w:rPr>
            </w:pPr>
            <w:r w:rsidRPr="00F20936">
              <w:rPr>
                <w:rFonts w:eastAsia="Times New Roman"/>
              </w:rPr>
              <w:t>838</w:t>
            </w:r>
          </w:p>
        </w:tc>
        <w:tc>
          <w:tcPr>
            <w:tcW w:w="744" w:type="dxa"/>
            <w:tcBorders>
              <w:top w:val="single" w:sz="12" w:space="0" w:color="auto"/>
              <w:left w:val="single" w:sz="12" w:space="0" w:color="0070C0"/>
              <w:bottom w:val="single" w:sz="12" w:space="0" w:color="0070C0"/>
              <w:right w:val="single" w:sz="12" w:space="0" w:color="0070C0"/>
            </w:tcBorders>
            <w:vAlign w:val="center"/>
          </w:tcPr>
          <w:p w:rsidR="001937D2" w:rsidRPr="00F20936" w:rsidRDefault="00F20936" w:rsidP="00EE354C">
            <w:pPr>
              <w:spacing w:after="0" w:line="240" w:lineRule="auto"/>
              <w:jc w:val="center"/>
              <w:rPr>
                <w:rFonts w:eastAsia="Times New Roman"/>
              </w:rPr>
            </w:pPr>
            <w:r w:rsidRPr="00F20936">
              <w:rPr>
                <w:rFonts w:eastAsia="Times New Roman"/>
              </w:rPr>
              <w:t>825</w:t>
            </w:r>
          </w:p>
        </w:tc>
        <w:tc>
          <w:tcPr>
            <w:tcW w:w="744" w:type="dxa"/>
            <w:tcBorders>
              <w:top w:val="single" w:sz="12" w:space="0" w:color="auto"/>
              <w:left w:val="single" w:sz="12" w:space="0" w:color="0070C0"/>
              <w:bottom w:val="single" w:sz="12" w:space="0" w:color="0070C0"/>
              <w:right w:val="single" w:sz="12" w:space="0" w:color="0070C0"/>
            </w:tcBorders>
            <w:vAlign w:val="center"/>
          </w:tcPr>
          <w:p w:rsidR="001937D2" w:rsidRPr="00F20936" w:rsidRDefault="00F20936" w:rsidP="00EE354C">
            <w:pPr>
              <w:spacing w:after="0" w:line="240" w:lineRule="auto"/>
              <w:jc w:val="center"/>
              <w:rPr>
                <w:rFonts w:eastAsia="Times New Roman"/>
              </w:rPr>
            </w:pPr>
            <w:r w:rsidRPr="00F20936">
              <w:rPr>
                <w:rFonts w:eastAsia="Times New Roman"/>
              </w:rPr>
              <w:t>812</w:t>
            </w:r>
          </w:p>
        </w:tc>
        <w:tc>
          <w:tcPr>
            <w:tcW w:w="744" w:type="dxa"/>
            <w:tcBorders>
              <w:top w:val="single" w:sz="12" w:space="0" w:color="auto"/>
              <w:left w:val="single" w:sz="12" w:space="0" w:color="0070C0"/>
              <w:bottom w:val="single" w:sz="12" w:space="0" w:color="0070C0"/>
              <w:right w:val="single" w:sz="12" w:space="0" w:color="0070C0"/>
            </w:tcBorders>
            <w:vAlign w:val="center"/>
          </w:tcPr>
          <w:p w:rsidR="001937D2" w:rsidRPr="00F20936" w:rsidRDefault="00F20936" w:rsidP="00EE354C">
            <w:pPr>
              <w:spacing w:after="0" w:line="240" w:lineRule="auto"/>
              <w:jc w:val="center"/>
              <w:rPr>
                <w:rFonts w:eastAsia="Times New Roman"/>
              </w:rPr>
            </w:pPr>
            <w:r w:rsidRPr="00F20936">
              <w:rPr>
                <w:rFonts w:eastAsia="Times New Roman"/>
              </w:rPr>
              <w:t>773</w:t>
            </w:r>
          </w:p>
        </w:tc>
        <w:tc>
          <w:tcPr>
            <w:tcW w:w="744" w:type="dxa"/>
            <w:tcBorders>
              <w:top w:val="single" w:sz="12" w:space="0" w:color="auto"/>
              <w:left w:val="single" w:sz="12" w:space="0" w:color="0070C0"/>
              <w:bottom w:val="single" w:sz="12" w:space="0" w:color="0070C0"/>
              <w:right w:val="single" w:sz="12" w:space="0" w:color="0070C0"/>
            </w:tcBorders>
            <w:vAlign w:val="center"/>
          </w:tcPr>
          <w:p w:rsidR="001937D2" w:rsidRPr="00F20936" w:rsidRDefault="00F20936" w:rsidP="00EE354C">
            <w:pPr>
              <w:spacing w:after="0" w:line="240" w:lineRule="auto"/>
              <w:jc w:val="center"/>
              <w:rPr>
                <w:rFonts w:eastAsia="Times New Roman"/>
              </w:rPr>
            </w:pPr>
            <w:r w:rsidRPr="00F20936">
              <w:rPr>
                <w:rFonts w:eastAsia="Times New Roman"/>
              </w:rPr>
              <w:t>740</w:t>
            </w:r>
          </w:p>
        </w:tc>
        <w:tc>
          <w:tcPr>
            <w:tcW w:w="744" w:type="dxa"/>
            <w:tcBorders>
              <w:top w:val="single" w:sz="12" w:space="0" w:color="auto"/>
              <w:left w:val="single" w:sz="12" w:space="0" w:color="0070C0"/>
              <w:bottom w:val="single" w:sz="12" w:space="0" w:color="0070C0"/>
              <w:right w:val="single" w:sz="12" w:space="0" w:color="0070C0"/>
            </w:tcBorders>
            <w:vAlign w:val="center"/>
          </w:tcPr>
          <w:p w:rsidR="001937D2" w:rsidRPr="00F20936" w:rsidRDefault="00F20936" w:rsidP="00EE354C">
            <w:pPr>
              <w:spacing w:after="0" w:line="240" w:lineRule="auto"/>
              <w:jc w:val="center"/>
              <w:rPr>
                <w:rFonts w:eastAsia="Times New Roman"/>
              </w:rPr>
            </w:pPr>
            <w:r w:rsidRPr="00F20936">
              <w:rPr>
                <w:rFonts w:eastAsia="Times New Roman"/>
              </w:rPr>
              <w:t>708</w:t>
            </w:r>
          </w:p>
        </w:tc>
        <w:tc>
          <w:tcPr>
            <w:tcW w:w="744" w:type="dxa"/>
            <w:tcBorders>
              <w:top w:val="single" w:sz="12" w:space="0" w:color="auto"/>
              <w:left w:val="single" w:sz="12" w:space="0" w:color="0070C0"/>
              <w:bottom w:val="single" w:sz="12" w:space="0" w:color="0070C0"/>
              <w:right w:val="single" w:sz="12" w:space="0" w:color="0070C0"/>
            </w:tcBorders>
            <w:vAlign w:val="center"/>
          </w:tcPr>
          <w:p w:rsidR="001937D2" w:rsidRPr="00F20936" w:rsidRDefault="00F20936" w:rsidP="00EE354C">
            <w:pPr>
              <w:spacing w:after="0" w:line="240" w:lineRule="auto"/>
              <w:jc w:val="center"/>
              <w:rPr>
                <w:rFonts w:eastAsia="Times New Roman"/>
              </w:rPr>
            </w:pPr>
            <w:r w:rsidRPr="00F20936">
              <w:rPr>
                <w:rFonts w:eastAsia="Times New Roman"/>
              </w:rPr>
              <w:t>675</w:t>
            </w:r>
          </w:p>
        </w:tc>
        <w:tc>
          <w:tcPr>
            <w:tcW w:w="745" w:type="dxa"/>
            <w:tcBorders>
              <w:top w:val="single" w:sz="12" w:space="0" w:color="auto"/>
              <w:left w:val="single" w:sz="12" w:space="0" w:color="0070C0"/>
              <w:bottom w:val="single" w:sz="12" w:space="0" w:color="0070C0"/>
              <w:right w:val="single" w:sz="12" w:space="0" w:color="0070C0"/>
            </w:tcBorders>
            <w:vAlign w:val="center"/>
          </w:tcPr>
          <w:p w:rsidR="001937D2" w:rsidRPr="00F20936" w:rsidRDefault="00F20936" w:rsidP="00EE354C">
            <w:pPr>
              <w:spacing w:after="0" w:line="240" w:lineRule="auto"/>
              <w:jc w:val="center"/>
              <w:rPr>
                <w:rFonts w:eastAsia="Times New Roman"/>
              </w:rPr>
            </w:pPr>
            <w:r w:rsidRPr="00F20936">
              <w:rPr>
                <w:rFonts w:eastAsia="Times New Roman"/>
              </w:rPr>
              <w:t>656</w:t>
            </w:r>
          </w:p>
        </w:tc>
        <w:tc>
          <w:tcPr>
            <w:tcW w:w="745" w:type="dxa"/>
            <w:tcBorders>
              <w:top w:val="single" w:sz="12" w:space="0" w:color="auto"/>
              <w:left w:val="single" w:sz="12" w:space="0" w:color="0070C0"/>
              <w:bottom w:val="single" w:sz="12" w:space="0" w:color="0070C0"/>
              <w:right w:val="single" w:sz="12" w:space="0" w:color="0070C0"/>
            </w:tcBorders>
            <w:vAlign w:val="center"/>
          </w:tcPr>
          <w:p w:rsidR="001937D2" w:rsidRPr="00F20936" w:rsidRDefault="00F20936" w:rsidP="00EE354C">
            <w:pPr>
              <w:spacing w:after="0" w:line="240" w:lineRule="auto"/>
              <w:jc w:val="center"/>
              <w:rPr>
                <w:rFonts w:eastAsia="Times New Roman"/>
              </w:rPr>
            </w:pPr>
            <w:r w:rsidRPr="00F20936">
              <w:rPr>
                <w:rFonts w:eastAsia="Times New Roman"/>
              </w:rPr>
              <w:t>643</w:t>
            </w:r>
          </w:p>
        </w:tc>
        <w:tc>
          <w:tcPr>
            <w:tcW w:w="745" w:type="dxa"/>
            <w:tcBorders>
              <w:top w:val="single" w:sz="12" w:space="0" w:color="auto"/>
              <w:left w:val="single" w:sz="12" w:space="0" w:color="0070C0"/>
              <w:bottom w:val="single" w:sz="12" w:space="0" w:color="0070C0"/>
              <w:right w:val="single" w:sz="12" w:space="0" w:color="0070C0"/>
            </w:tcBorders>
            <w:vAlign w:val="center"/>
          </w:tcPr>
          <w:p w:rsidR="001937D2" w:rsidRPr="00F20936" w:rsidRDefault="00F20936" w:rsidP="00EE354C">
            <w:pPr>
              <w:spacing w:after="0" w:line="240" w:lineRule="auto"/>
              <w:jc w:val="center"/>
              <w:rPr>
                <w:rFonts w:eastAsia="Times New Roman"/>
              </w:rPr>
            </w:pPr>
            <w:r w:rsidRPr="00F20936">
              <w:rPr>
                <w:rFonts w:eastAsia="Times New Roman"/>
              </w:rPr>
              <w:t>636</w:t>
            </w:r>
          </w:p>
        </w:tc>
        <w:tc>
          <w:tcPr>
            <w:tcW w:w="745" w:type="dxa"/>
            <w:tcBorders>
              <w:top w:val="single" w:sz="12" w:space="0" w:color="auto"/>
              <w:left w:val="single" w:sz="12" w:space="0" w:color="0070C0"/>
              <w:bottom w:val="single" w:sz="12" w:space="0" w:color="0070C0"/>
              <w:right w:val="single" w:sz="12" w:space="0" w:color="auto"/>
            </w:tcBorders>
            <w:vAlign w:val="center"/>
          </w:tcPr>
          <w:p w:rsidR="001937D2" w:rsidRPr="00F20936" w:rsidRDefault="00F20936" w:rsidP="00EE354C">
            <w:pPr>
              <w:spacing w:after="0" w:line="240" w:lineRule="auto"/>
              <w:jc w:val="center"/>
              <w:rPr>
                <w:rFonts w:eastAsia="Times New Roman"/>
              </w:rPr>
            </w:pPr>
            <w:r w:rsidRPr="00F20936">
              <w:rPr>
                <w:rFonts w:eastAsia="Times New Roman"/>
              </w:rPr>
              <w:t>617</w:t>
            </w:r>
          </w:p>
        </w:tc>
      </w:tr>
      <w:tr w:rsidR="00EE354C" w:rsidTr="00EE354C">
        <w:tc>
          <w:tcPr>
            <w:tcW w:w="1524" w:type="dxa"/>
            <w:tcBorders>
              <w:top w:val="single" w:sz="12" w:space="0" w:color="0070C0"/>
              <w:left w:val="single" w:sz="12" w:space="0" w:color="auto"/>
              <w:bottom w:val="single" w:sz="12" w:space="0" w:color="0070C0"/>
              <w:right w:val="single" w:sz="12" w:space="0" w:color="0070C0"/>
            </w:tcBorders>
          </w:tcPr>
          <w:p w:rsidR="001937D2" w:rsidRPr="00F20936" w:rsidRDefault="001937D2" w:rsidP="001937D2">
            <w:pPr>
              <w:spacing w:after="0" w:line="240" w:lineRule="auto"/>
              <w:rPr>
                <w:rFonts w:eastAsia="Times New Roman"/>
                <w:b/>
              </w:rPr>
            </w:pPr>
            <w:r w:rsidRPr="00F20936">
              <w:rPr>
                <w:rFonts w:eastAsia="Times New Roman"/>
                <w:b/>
              </w:rPr>
              <w:t>Thermal Conductivity W/</w:t>
            </w:r>
            <w:proofErr w:type="spellStart"/>
            <w:r w:rsidRPr="00F20936">
              <w:rPr>
                <w:rFonts w:eastAsia="Times New Roman"/>
                <w:b/>
              </w:rPr>
              <w:t>mK</w:t>
            </w:r>
            <w:proofErr w:type="spellEnd"/>
          </w:p>
        </w:tc>
        <w:tc>
          <w:tcPr>
            <w:tcW w:w="744" w:type="dxa"/>
            <w:tcBorders>
              <w:top w:val="single" w:sz="12" w:space="0" w:color="0070C0"/>
              <w:left w:val="single" w:sz="12" w:space="0" w:color="0070C0"/>
              <w:bottom w:val="single" w:sz="12" w:space="0" w:color="0070C0"/>
              <w:right w:val="single" w:sz="12" w:space="0" w:color="0070C0"/>
            </w:tcBorders>
            <w:vAlign w:val="center"/>
          </w:tcPr>
          <w:p w:rsidR="001937D2" w:rsidRPr="00F20936" w:rsidRDefault="00F20936" w:rsidP="00EE354C">
            <w:pPr>
              <w:spacing w:after="0" w:line="240" w:lineRule="auto"/>
              <w:jc w:val="center"/>
              <w:rPr>
                <w:rFonts w:eastAsia="Times New Roman"/>
              </w:rPr>
            </w:pPr>
            <w:r w:rsidRPr="00F20936">
              <w:rPr>
                <w:rFonts w:eastAsia="Times New Roman"/>
              </w:rPr>
              <w:t>0.143</w:t>
            </w:r>
          </w:p>
        </w:tc>
        <w:tc>
          <w:tcPr>
            <w:tcW w:w="744" w:type="dxa"/>
            <w:tcBorders>
              <w:top w:val="single" w:sz="12" w:space="0" w:color="0070C0"/>
              <w:left w:val="single" w:sz="12" w:space="0" w:color="0070C0"/>
              <w:bottom w:val="single" w:sz="12" w:space="0" w:color="0070C0"/>
              <w:right w:val="single" w:sz="12" w:space="0" w:color="0070C0"/>
            </w:tcBorders>
            <w:vAlign w:val="center"/>
          </w:tcPr>
          <w:p w:rsidR="001937D2" w:rsidRPr="00F20936" w:rsidRDefault="00F20936" w:rsidP="00EE354C">
            <w:pPr>
              <w:spacing w:after="0" w:line="240" w:lineRule="auto"/>
              <w:jc w:val="center"/>
              <w:rPr>
                <w:rFonts w:eastAsia="Times New Roman"/>
              </w:rPr>
            </w:pPr>
            <w:r w:rsidRPr="00F20936">
              <w:rPr>
                <w:rFonts w:eastAsia="Times New Roman"/>
              </w:rPr>
              <w:t>0.142</w:t>
            </w:r>
          </w:p>
        </w:tc>
        <w:tc>
          <w:tcPr>
            <w:tcW w:w="744" w:type="dxa"/>
            <w:tcBorders>
              <w:top w:val="single" w:sz="12" w:space="0" w:color="0070C0"/>
              <w:left w:val="single" w:sz="12" w:space="0" w:color="0070C0"/>
              <w:bottom w:val="single" w:sz="12" w:space="0" w:color="0070C0"/>
              <w:right w:val="single" w:sz="12" w:space="0" w:color="0070C0"/>
            </w:tcBorders>
            <w:vAlign w:val="center"/>
          </w:tcPr>
          <w:p w:rsidR="001937D2" w:rsidRPr="00F20936" w:rsidRDefault="00F20936" w:rsidP="00EE354C">
            <w:pPr>
              <w:spacing w:after="0" w:line="240" w:lineRule="auto"/>
              <w:jc w:val="center"/>
              <w:rPr>
                <w:rFonts w:eastAsia="Times New Roman"/>
              </w:rPr>
            </w:pPr>
            <w:r w:rsidRPr="00F20936">
              <w:rPr>
                <w:rFonts w:eastAsia="Times New Roman"/>
              </w:rPr>
              <w:t>0.140</w:t>
            </w:r>
          </w:p>
        </w:tc>
        <w:tc>
          <w:tcPr>
            <w:tcW w:w="744" w:type="dxa"/>
            <w:tcBorders>
              <w:top w:val="single" w:sz="12" w:space="0" w:color="0070C0"/>
              <w:left w:val="single" w:sz="12" w:space="0" w:color="0070C0"/>
              <w:bottom w:val="single" w:sz="12" w:space="0" w:color="0070C0"/>
              <w:right w:val="single" w:sz="12" w:space="0" w:color="0070C0"/>
            </w:tcBorders>
            <w:vAlign w:val="center"/>
          </w:tcPr>
          <w:p w:rsidR="001937D2" w:rsidRPr="00F20936" w:rsidRDefault="00F20936" w:rsidP="00EE354C">
            <w:pPr>
              <w:spacing w:after="0" w:line="240" w:lineRule="auto"/>
              <w:jc w:val="center"/>
              <w:rPr>
                <w:rFonts w:eastAsia="Times New Roman"/>
              </w:rPr>
            </w:pPr>
            <w:r w:rsidRPr="00F20936">
              <w:rPr>
                <w:rFonts w:eastAsia="Times New Roman"/>
              </w:rPr>
              <w:t>0.139</w:t>
            </w:r>
          </w:p>
        </w:tc>
        <w:tc>
          <w:tcPr>
            <w:tcW w:w="744" w:type="dxa"/>
            <w:tcBorders>
              <w:top w:val="single" w:sz="12" w:space="0" w:color="0070C0"/>
              <w:left w:val="single" w:sz="12" w:space="0" w:color="0070C0"/>
              <w:bottom w:val="single" w:sz="12" w:space="0" w:color="0070C0"/>
              <w:right w:val="single" w:sz="12" w:space="0" w:color="0070C0"/>
            </w:tcBorders>
            <w:vAlign w:val="center"/>
          </w:tcPr>
          <w:p w:rsidR="001937D2" w:rsidRPr="00F20936" w:rsidRDefault="00F20936" w:rsidP="00EE354C">
            <w:pPr>
              <w:spacing w:after="0" w:line="240" w:lineRule="auto"/>
              <w:jc w:val="center"/>
              <w:rPr>
                <w:rFonts w:eastAsia="Times New Roman"/>
              </w:rPr>
            </w:pPr>
            <w:r w:rsidRPr="00F20936">
              <w:rPr>
                <w:rFonts w:eastAsia="Times New Roman"/>
              </w:rPr>
              <w:t>0.134</w:t>
            </w:r>
          </w:p>
        </w:tc>
        <w:tc>
          <w:tcPr>
            <w:tcW w:w="744" w:type="dxa"/>
            <w:tcBorders>
              <w:top w:val="single" w:sz="12" w:space="0" w:color="0070C0"/>
              <w:left w:val="single" w:sz="12" w:space="0" w:color="0070C0"/>
              <w:bottom w:val="single" w:sz="12" w:space="0" w:color="0070C0"/>
              <w:right w:val="single" w:sz="12" w:space="0" w:color="0070C0"/>
            </w:tcBorders>
            <w:vAlign w:val="center"/>
          </w:tcPr>
          <w:p w:rsidR="001937D2" w:rsidRPr="00F20936" w:rsidRDefault="00F20936" w:rsidP="00EE354C">
            <w:pPr>
              <w:spacing w:after="0" w:line="240" w:lineRule="auto"/>
              <w:jc w:val="center"/>
              <w:rPr>
                <w:rFonts w:eastAsia="Times New Roman"/>
              </w:rPr>
            </w:pPr>
            <w:r w:rsidRPr="00F20936">
              <w:rPr>
                <w:rFonts w:eastAsia="Times New Roman"/>
              </w:rPr>
              <w:t>0.130</w:t>
            </w:r>
          </w:p>
        </w:tc>
        <w:tc>
          <w:tcPr>
            <w:tcW w:w="744" w:type="dxa"/>
            <w:tcBorders>
              <w:top w:val="single" w:sz="12" w:space="0" w:color="0070C0"/>
              <w:left w:val="single" w:sz="12" w:space="0" w:color="0070C0"/>
              <w:bottom w:val="single" w:sz="12" w:space="0" w:color="0070C0"/>
              <w:right w:val="single" w:sz="12" w:space="0" w:color="0070C0"/>
            </w:tcBorders>
            <w:vAlign w:val="center"/>
          </w:tcPr>
          <w:p w:rsidR="001937D2" w:rsidRPr="00F20936" w:rsidRDefault="00F20936" w:rsidP="00EE354C">
            <w:pPr>
              <w:spacing w:after="0" w:line="240" w:lineRule="auto"/>
              <w:jc w:val="center"/>
              <w:rPr>
                <w:rFonts w:eastAsia="Times New Roman"/>
              </w:rPr>
            </w:pPr>
            <w:r w:rsidRPr="00F20936">
              <w:rPr>
                <w:rFonts w:eastAsia="Times New Roman"/>
              </w:rPr>
              <w:t>0.127</w:t>
            </w:r>
          </w:p>
        </w:tc>
        <w:tc>
          <w:tcPr>
            <w:tcW w:w="744" w:type="dxa"/>
            <w:tcBorders>
              <w:top w:val="single" w:sz="12" w:space="0" w:color="0070C0"/>
              <w:left w:val="single" w:sz="12" w:space="0" w:color="0070C0"/>
              <w:bottom w:val="single" w:sz="12" w:space="0" w:color="0070C0"/>
              <w:right w:val="single" w:sz="12" w:space="0" w:color="0070C0"/>
            </w:tcBorders>
            <w:vAlign w:val="center"/>
          </w:tcPr>
          <w:p w:rsidR="001937D2" w:rsidRPr="00F20936" w:rsidRDefault="00F20936" w:rsidP="00EE354C">
            <w:pPr>
              <w:spacing w:after="0" w:line="240" w:lineRule="auto"/>
              <w:jc w:val="center"/>
              <w:rPr>
                <w:rFonts w:eastAsia="Times New Roman"/>
              </w:rPr>
            </w:pPr>
            <w:r w:rsidRPr="00F20936">
              <w:rPr>
                <w:rFonts w:eastAsia="Times New Roman"/>
              </w:rPr>
              <w:t>0.123</w:t>
            </w:r>
          </w:p>
        </w:tc>
        <w:tc>
          <w:tcPr>
            <w:tcW w:w="745" w:type="dxa"/>
            <w:tcBorders>
              <w:top w:val="single" w:sz="12" w:space="0" w:color="0070C0"/>
              <w:left w:val="single" w:sz="12" w:space="0" w:color="0070C0"/>
              <w:bottom w:val="single" w:sz="12" w:space="0" w:color="0070C0"/>
              <w:right w:val="single" w:sz="12" w:space="0" w:color="0070C0"/>
            </w:tcBorders>
            <w:vAlign w:val="center"/>
          </w:tcPr>
          <w:p w:rsidR="001937D2" w:rsidRPr="00F20936" w:rsidRDefault="00F20936" w:rsidP="00EE354C">
            <w:pPr>
              <w:spacing w:after="0" w:line="240" w:lineRule="auto"/>
              <w:jc w:val="center"/>
              <w:rPr>
                <w:rFonts w:eastAsia="Times New Roman"/>
              </w:rPr>
            </w:pPr>
            <w:r w:rsidRPr="00F20936">
              <w:rPr>
                <w:rFonts w:eastAsia="Times New Roman"/>
              </w:rPr>
              <w:t>0.121</w:t>
            </w:r>
          </w:p>
        </w:tc>
        <w:tc>
          <w:tcPr>
            <w:tcW w:w="745" w:type="dxa"/>
            <w:tcBorders>
              <w:top w:val="single" w:sz="12" w:space="0" w:color="0070C0"/>
              <w:left w:val="single" w:sz="12" w:space="0" w:color="0070C0"/>
              <w:bottom w:val="single" w:sz="12" w:space="0" w:color="0070C0"/>
              <w:right w:val="single" w:sz="12" w:space="0" w:color="0070C0"/>
            </w:tcBorders>
            <w:vAlign w:val="center"/>
          </w:tcPr>
          <w:p w:rsidR="001937D2" w:rsidRPr="00F20936" w:rsidRDefault="00F20936" w:rsidP="00EE354C">
            <w:pPr>
              <w:spacing w:after="0" w:line="240" w:lineRule="auto"/>
              <w:jc w:val="center"/>
              <w:rPr>
                <w:rFonts w:eastAsia="Times New Roman"/>
              </w:rPr>
            </w:pPr>
            <w:r w:rsidRPr="00F20936">
              <w:rPr>
                <w:rFonts w:eastAsia="Times New Roman"/>
              </w:rPr>
              <w:t>0.119</w:t>
            </w:r>
          </w:p>
        </w:tc>
        <w:tc>
          <w:tcPr>
            <w:tcW w:w="745" w:type="dxa"/>
            <w:tcBorders>
              <w:top w:val="single" w:sz="12" w:space="0" w:color="0070C0"/>
              <w:left w:val="single" w:sz="12" w:space="0" w:color="0070C0"/>
              <w:bottom w:val="single" w:sz="12" w:space="0" w:color="0070C0"/>
              <w:right w:val="single" w:sz="12" w:space="0" w:color="0070C0"/>
            </w:tcBorders>
            <w:vAlign w:val="center"/>
          </w:tcPr>
          <w:p w:rsidR="001937D2" w:rsidRPr="00F20936" w:rsidRDefault="00F20936" w:rsidP="00EE354C">
            <w:pPr>
              <w:spacing w:after="0" w:line="240" w:lineRule="auto"/>
              <w:jc w:val="center"/>
              <w:rPr>
                <w:rFonts w:eastAsia="Times New Roman"/>
              </w:rPr>
            </w:pPr>
            <w:r w:rsidRPr="00F20936">
              <w:rPr>
                <w:rFonts w:eastAsia="Times New Roman"/>
              </w:rPr>
              <w:t>0.118</w:t>
            </w:r>
          </w:p>
        </w:tc>
        <w:tc>
          <w:tcPr>
            <w:tcW w:w="745" w:type="dxa"/>
            <w:tcBorders>
              <w:top w:val="single" w:sz="12" w:space="0" w:color="0070C0"/>
              <w:left w:val="single" w:sz="12" w:space="0" w:color="0070C0"/>
              <w:bottom w:val="single" w:sz="12" w:space="0" w:color="0070C0"/>
              <w:right w:val="single" w:sz="12" w:space="0" w:color="auto"/>
            </w:tcBorders>
            <w:vAlign w:val="center"/>
          </w:tcPr>
          <w:p w:rsidR="001937D2" w:rsidRPr="00F20936" w:rsidRDefault="00F20936" w:rsidP="00EE354C">
            <w:pPr>
              <w:spacing w:after="0" w:line="240" w:lineRule="auto"/>
              <w:jc w:val="center"/>
              <w:rPr>
                <w:rFonts w:eastAsia="Times New Roman"/>
              </w:rPr>
            </w:pPr>
            <w:r w:rsidRPr="00F20936">
              <w:rPr>
                <w:rFonts w:eastAsia="Times New Roman"/>
              </w:rPr>
              <w:t>0.116</w:t>
            </w:r>
          </w:p>
        </w:tc>
      </w:tr>
      <w:tr w:rsidR="00EE354C" w:rsidTr="00EE354C">
        <w:tc>
          <w:tcPr>
            <w:tcW w:w="1524" w:type="dxa"/>
            <w:tcBorders>
              <w:top w:val="single" w:sz="12" w:space="0" w:color="0070C0"/>
              <w:left w:val="single" w:sz="12" w:space="0" w:color="auto"/>
              <w:bottom w:val="single" w:sz="12" w:space="0" w:color="0070C0"/>
              <w:right w:val="single" w:sz="12" w:space="0" w:color="0070C0"/>
            </w:tcBorders>
          </w:tcPr>
          <w:p w:rsidR="001937D2" w:rsidRPr="00F20936" w:rsidRDefault="00F20936" w:rsidP="00F20936">
            <w:pPr>
              <w:spacing w:after="0" w:line="240" w:lineRule="auto"/>
              <w:rPr>
                <w:rFonts w:eastAsia="Times New Roman"/>
                <w:b/>
              </w:rPr>
            </w:pPr>
            <w:r w:rsidRPr="00F20936">
              <w:rPr>
                <w:rFonts w:eastAsia="Times New Roman"/>
                <w:b/>
              </w:rPr>
              <w:t>kJ/</w:t>
            </w:r>
            <w:proofErr w:type="spellStart"/>
            <w:r w:rsidRPr="00F20936">
              <w:rPr>
                <w:rFonts w:eastAsia="Times New Roman"/>
                <w:b/>
              </w:rPr>
              <w:t>mhK</w:t>
            </w:r>
            <w:proofErr w:type="spellEnd"/>
          </w:p>
        </w:tc>
        <w:tc>
          <w:tcPr>
            <w:tcW w:w="744" w:type="dxa"/>
            <w:tcBorders>
              <w:top w:val="single" w:sz="12" w:space="0" w:color="0070C0"/>
              <w:left w:val="single" w:sz="12" w:space="0" w:color="0070C0"/>
              <w:bottom w:val="single" w:sz="12" w:space="0" w:color="0070C0"/>
              <w:right w:val="single" w:sz="12" w:space="0" w:color="0070C0"/>
            </w:tcBorders>
            <w:vAlign w:val="center"/>
          </w:tcPr>
          <w:p w:rsidR="001937D2" w:rsidRPr="00F20936" w:rsidRDefault="00F20936" w:rsidP="00EE354C">
            <w:pPr>
              <w:spacing w:after="0" w:line="240" w:lineRule="auto"/>
              <w:jc w:val="center"/>
              <w:rPr>
                <w:rFonts w:eastAsia="Times New Roman"/>
              </w:rPr>
            </w:pPr>
            <w:r>
              <w:rPr>
                <w:rFonts w:eastAsia="Times New Roman"/>
              </w:rPr>
              <w:t>0.516</w:t>
            </w:r>
          </w:p>
        </w:tc>
        <w:tc>
          <w:tcPr>
            <w:tcW w:w="744" w:type="dxa"/>
            <w:tcBorders>
              <w:top w:val="single" w:sz="12" w:space="0" w:color="0070C0"/>
              <w:left w:val="single" w:sz="12" w:space="0" w:color="0070C0"/>
              <w:bottom w:val="single" w:sz="12" w:space="0" w:color="0070C0"/>
              <w:right w:val="single" w:sz="12" w:space="0" w:color="0070C0"/>
            </w:tcBorders>
            <w:vAlign w:val="center"/>
          </w:tcPr>
          <w:p w:rsidR="001937D2" w:rsidRPr="00F20936" w:rsidRDefault="00F20936" w:rsidP="00EE354C">
            <w:pPr>
              <w:spacing w:after="0" w:line="240" w:lineRule="auto"/>
              <w:jc w:val="center"/>
              <w:rPr>
                <w:rFonts w:eastAsia="Times New Roman"/>
              </w:rPr>
            </w:pPr>
            <w:r>
              <w:rPr>
                <w:rFonts w:eastAsia="Times New Roman"/>
              </w:rPr>
              <w:t>0.511</w:t>
            </w:r>
          </w:p>
        </w:tc>
        <w:tc>
          <w:tcPr>
            <w:tcW w:w="744" w:type="dxa"/>
            <w:tcBorders>
              <w:top w:val="single" w:sz="12" w:space="0" w:color="0070C0"/>
              <w:left w:val="single" w:sz="12" w:space="0" w:color="0070C0"/>
              <w:bottom w:val="single" w:sz="12" w:space="0" w:color="0070C0"/>
              <w:right w:val="single" w:sz="12" w:space="0" w:color="0070C0"/>
            </w:tcBorders>
            <w:vAlign w:val="center"/>
          </w:tcPr>
          <w:p w:rsidR="001937D2" w:rsidRPr="00F20936" w:rsidRDefault="00F20936" w:rsidP="00EE354C">
            <w:pPr>
              <w:spacing w:after="0" w:line="240" w:lineRule="auto"/>
              <w:jc w:val="center"/>
              <w:rPr>
                <w:rFonts w:eastAsia="Times New Roman"/>
              </w:rPr>
            </w:pPr>
            <w:r>
              <w:rPr>
                <w:rFonts w:eastAsia="Times New Roman"/>
              </w:rPr>
              <w:t>0.505</w:t>
            </w:r>
          </w:p>
        </w:tc>
        <w:tc>
          <w:tcPr>
            <w:tcW w:w="744" w:type="dxa"/>
            <w:tcBorders>
              <w:top w:val="single" w:sz="12" w:space="0" w:color="0070C0"/>
              <w:left w:val="single" w:sz="12" w:space="0" w:color="0070C0"/>
              <w:bottom w:val="single" w:sz="12" w:space="0" w:color="0070C0"/>
              <w:right w:val="single" w:sz="12" w:space="0" w:color="0070C0"/>
            </w:tcBorders>
            <w:vAlign w:val="center"/>
          </w:tcPr>
          <w:p w:rsidR="001937D2" w:rsidRPr="00F20936" w:rsidRDefault="00F20936" w:rsidP="00EE354C">
            <w:pPr>
              <w:spacing w:after="0" w:line="240" w:lineRule="auto"/>
              <w:jc w:val="center"/>
              <w:rPr>
                <w:rFonts w:eastAsia="Times New Roman"/>
              </w:rPr>
            </w:pPr>
            <w:r>
              <w:rPr>
                <w:rFonts w:eastAsia="Times New Roman"/>
              </w:rPr>
              <w:t>0.500</w:t>
            </w:r>
          </w:p>
        </w:tc>
        <w:tc>
          <w:tcPr>
            <w:tcW w:w="744" w:type="dxa"/>
            <w:tcBorders>
              <w:top w:val="single" w:sz="12" w:space="0" w:color="0070C0"/>
              <w:left w:val="single" w:sz="12" w:space="0" w:color="0070C0"/>
              <w:bottom w:val="single" w:sz="12" w:space="0" w:color="0070C0"/>
              <w:right w:val="single" w:sz="12" w:space="0" w:color="0070C0"/>
            </w:tcBorders>
            <w:vAlign w:val="center"/>
          </w:tcPr>
          <w:p w:rsidR="001937D2" w:rsidRPr="00F20936" w:rsidRDefault="00F20936" w:rsidP="00EE354C">
            <w:pPr>
              <w:spacing w:after="0" w:line="240" w:lineRule="auto"/>
              <w:jc w:val="center"/>
              <w:rPr>
                <w:rFonts w:eastAsia="Times New Roman"/>
              </w:rPr>
            </w:pPr>
            <w:r>
              <w:rPr>
                <w:rFonts w:eastAsia="Times New Roman"/>
              </w:rPr>
              <w:t>0.483</w:t>
            </w:r>
          </w:p>
        </w:tc>
        <w:tc>
          <w:tcPr>
            <w:tcW w:w="744" w:type="dxa"/>
            <w:tcBorders>
              <w:top w:val="single" w:sz="12" w:space="0" w:color="0070C0"/>
              <w:left w:val="single" w:sz="12" w:space="0" w:color="0070C0"/>
              <w:bottom w:val="single" w:sz="12" w:space="0" w:color="0070C0"/>
              <w:right w:val="single" w:sz="12" w:space="0" w:color="0070C0"/>
            </w:tcBorders>
            <w:vAlign w:val="center"/>
          </w:tcPr>
          <w:p w:rsidR="001937D2" w:rsidRPr="00F20936" w:rsidRDefault="00F20936" w:rsidP="00EE354C">
            <w:pPr>
              <w:spacing w:after="0" w:line="240" w:lineRule="auto"/>
              <w:jc w:val="center"/>
              <w:rPr>
                <w:rFonts w:eastAsia="Times New Roman"/>
              </w:rPr>
            </w:pPr>
            <w:r>
              <w:rPr>
                <w:rFonts w:eastAsia="Times New Roman"/>
              </w:rPr>
              <w:t>0.470</w:t>
            </w:r>
          </w:p>
        </w:tc>
        <w:tc>
          <w:tcPr>
            <w:tcW w:w="744" w:type="dxa"/>
            <w:tcBorders>
              <w:top w:val="single" w:sz="12" w:space="0" w:color="0070C0"/>
              <w:left w:val="single" w:sz="12" w:space="0" w:color="0070C0"/>
              <w:bottom w:val="single" w:sz="12" w:space="0" w:color="0070C0"/>
              <w:right w:val="single" w:sz="12" w:space="0" w:color="0070C0"/>
            </w:tcBorders>
            <w:vAlign w:val="center"/>
          </w:tcPr>
          <w:p w:rsidR="001937D2" w:rsidRPr="00F20936" w:rsidRDefault="00F20936" w:rsidP="00EE354C">
            <w:pPr>
              <w:spacing w:after="0" w:line="240" w:lineRule="auto"/>
              <w:jc w:val="center"/>
              <w:rPr>
                <w:rFonts w:eastAsia="Times New Roman"/>
              </w:rPr>
            </w:pPr>
            <w:r>
              <w:rPr>
                <w:rFonts w:eastAsia="Times New Roman"/>
              </w:rPr>
              <w:t>0.456</w:t>
            </w:r>
          </w:p>
        </w:tc>
        <w:tc>
          <w:tcPr>
            <w:tcW w:w="744" w:type="dxa"/>
            <w:tcBorders>
              <w:top w:val="single" w:sz="12" w:space="0" w:color="0070C0"/>
              <w:left w:val="single" w:sz="12" w:space="0" w:color="0070C0"/>
              <w:bottom w:val="single" w:sz="12" w:space="0" w:color="0070C0"/>
              <w:right w:val="single" w:sz="12" w:space="0" w:color="0070C0"/>
            </w:tcBorders>
            <w:vAlign w:val="center"/>
          </w:tcPr>
          <w:p w:rsidR="001937D2" w:rsidRPr="00F20936" w:rsidRDefault="00F20936" w:rsidP="00EE354C">
            <w:pPr>
              <w:spacing w:after="0" w:line="240" w:lineRule="auto"/>
              <w:jc w:val="center"/>
              <w:rPr>
                <w:rFonts w:eastAsia="Times New Roman"/>
              </w:rPr>
            </w:pPr>
            <w:r>
              <w:rPr>
                <w:rFonts w:eastAsia="Times New Roman"/>
              </w:rPr>
              <w:t>0.442</w:t>
            </w:r>
          </w:p>
        </w:tc>
        <w:tc>
          <w:tcPr>
            <w:tcW w:w="745" w:type="dxa"/>
            <w:tcBorders>
              <w:top w:val="single" w:sz="12" w:space="0" w:color="0070C0"/>
              <w:left w:val="single" w:sz="12" w:space="0" w:color="0070C0"/>
              <w:bottom w:val="single" w:sz="12" w:space="0" w:color="0070C0"/>
              <w:right w:val="single" w:sz="12" w:space="0" w:color="0070C0"/>
            </w:tcBorders>
            <w:vAlign w:val="center"/>
          </w:tcPr>
          <w:p w:rsidR="001937D2" w:rsidRPr="00F20936" w:rsidRDefault="00F20936" w:rsidP="00EE354C">
            <w:pPr>
              <w:spacing w:after="0" w:line="240" w:lineRule="auto"/>
              <w:jc w:val="center"/>
              <w:rPr>
                <w:rFonts w:eastAsia="Times New Roman"/>
              </w:rPr>
            </w:pPr>
            <w:r>
              <w:rPr>
                <w:rFonts w:eastAsia="Times New Roman"/>
              </w:rPr>
              <w:t>0.434</w:t>
            </w:r>
          </w:p>
        </w:tc>
        <w:tc>
          <w:tcPr>
            <w:tcW w:w="745" w:type="dxa"/>
            <w:tcBorders>
              <w:top w:val="single" w:sz="12" w:space="0" w:color="0070C0"/>
              <w:left w:val="single" w:sz="12" w:space="0" w:color="0070C0"/>
              <w:bottom w:val="single" w:sz="12" w:space="0" w:color="0070C0"/>
              <w:right w:val="single" w:sz="12" w:space="0" w:color="0070C0"/>
            </w:tcBorders>
            <w:vAlign w:val="center"/>
          </w:tcPr>
          <w:p w:rsidR="001937D2" w:rsidRPr="00F20936" w:rsidRDefault="00F20936" w:rsidP="00EE354C">
            <w:pPr>
              <w:spacing w:after="0" w:line="240" w:lineRule="auto"/>
              <w:jc w:val="center"/>
              <w:rPr>
                <w:rFonts w:eastAsia="Times New Roman"/>
              </w:rPr>
            </w:pPr>
            <w:r>
              <w:rPr>
                <w:rFonts w:eastAsia="Times New Roman"/>
              </w:rPr>
              <w:t>0.429</w:t>
            </w:r>
          </w:p>
        </w:tc>
        <w:tc>
          <w:tcPr>
            <w:tcW w:w="745" w:type="dxa"/>
            <w:tcBorders>
              <w:top w:val="single" w:sz="12" w:space="0" w:color="0070C0"/>
              <w:left w:val="single" w:sz="12" w:space="0" w:color="0070C0"/>
              <w:bottom w:val="single" w:sz="12" w:space="0" w:color="0070C0"/>
              <w:right w:val="single" w:sz="12" w:space="0" w:color="0070C0"/>
            </w:tcBorders>
            <w:vAlign w:val="center"/>
          </w:tcPr>
          <w:p w:rsidR="001937D2" w:rsidRPr="00F20936" w:rsidRDefault="00F20936" w:rsidP="00EE354C">
            <w:pPr>
              <w:spacing w:after="0" w:line="240" w:lineRule="auto"/>
              <w:jc w:val="center"/>
              <w:rPr>
                <w:rFonts w:eastAsia="Times New Roman"/>
              </w:rPr>
            </w:pPr>
            <w:r>
              <w:rPr>
                <w:rFonts w:eastAsia="Times New Roman"/>
              </w:rPr>
              <w:t>0.426</w:t>
            </w:r>
          </w:p>
        </w:tc>
        <w:tc>
          <w:tcPr>
            <w:tcW w:w="745" w:type="dxa"/>
            <w:tcBorders>
              <w:top w:val="single" w:sz="12" w:space="0" w:color="0070C0"/>
              <w:left w:val="single" w:sz="12" w:space="0" w:color="0070C0"/>
              <w:bottom w:val="single" w:sz="12" w:space="0" w:color="0070C0"/>
              <w:right w:val="single" w:sz="12" w:space="0" w:color="auto"/>
            </w:tcBorders>
            <w:vAlign w:val="center"/>
          </w:tcPr>
          <w:p w:rsidR="001937D2" w:rsidRPr="00F20936" w:rsidRDefault="00F20936" w:rsidP="00EE354C">
            <w:pPr>
              <w:spacing w:after="0" w:line="240" w:lineRule="auto"/>
              <w:jc w:val="center"/>
              <w:rPr>
                <w:rFonts w:eastAsia="Times New Roman"/>
              </w:rPr>
            </w:pPr>
            <w:r>
              <w:rPr>
                <w:rFonts w:eastAsia="Times New Roman"/>
              </w:rPr>
              <w:t>0.418</w:t>
            </w:r>
          </w:p>
        </w:tc>
      </w:tr>
      <w:tr w:rsidR="00EE354C" w:rsidTr="00EE354C">
        <w:tc>
          <w:tcPr>
            <w:tcW w:w="1524" w:type="dxa"/>
            <w:tcBorders>
              <w:top w:val="single" w:sz="12" w:space="0" w:color="0070C0"/>
              <w:left w:val="single" w:sz="12" w:space="0" w:color="auto"/>
              <w:bottom w:val="single" w:sz="12" w:space="0" w:color="auto"/>
              <w:right w:val="single" w:sz="12" w:space="0" w:color="0070C0"/>
            </w:tcBorders>
          </w:tcPr>
          <w:p w:rsidR="00F20936" w:rsidRPr="00F20936" w:rsidRDefault="00F20936" w:rsidP="00F20936">
            <w:pPr>
              <w:spacing w:after="0" w:line="240" w:lineRule="auto"/>
              <w:rPr>
                <w:rFonts w:eastAsia="Times New Roman"/>
                <w:b/>
              </w:rPr>
            </w:pPr>
            <w:r w:rsidRPr="00F20936">
              <w:rPr>
                <w:rFonts w:eastAsia="Times New Roman"/>
                <w:b/>
              </w:rPr>
              <w:t>Heat Capacity KJ/kg. K</w:t>
            </w:r>
          </w:p>
        </w:tc>
        <w:tc>
          <w:tcPr>
            <w:tcW w:w="744" w:type="dxa"/>
            <w:tcBorders>
              <w:top w:val="single" w:sz="12" w:space="0" w:color="0070C0"/>
              <w:left w:val="single" w:sz="12" w:space="0" w:color="0070C0"/>
              <w:bottom w:val="single" w:sz="12" w:space="0" w:color="auto"/>
              <w:right w:val="single" w:sz="12" w:space="0" w:color="0070C0"/>
            </w:tcBorders>
            <w:vAlign w:val="center"/>
          </w:tcPr>
          <w:p w:rsidR="00F20936" w:rsidRPr="00F20936" w:rsidRDefault="00F20936" w:rsidP="00EE354C">
            <w:pPr>
              <w:spacing w:after="0" w:line="240" w:lineRule="auto"/>
              <w:jc w:val="center"/>
              <w:rPr>
                <w:rFonts w:eastAsia="Times New Roman"/>
              </w:rPr>
            </w:pPr>
            <w:r w:rsidRPr="00F20936">
              <w:rPr>
                <w:rFonts w:eastAsia="Times New Roman"/>
              </w:rPr>
              <w:t>1.775</w:t>
            </w:r>
          </w:p>
        </w:tc>
        <w:tc>
          <w:tcPr>
            <w:tcW w:w="744" w:type="dxa"/>
            <w:tcBorders>
              <w:top w:val="single" w:sz="12" w:space="0" w:color="0070C0"/>
              <w:left w:val="single" w:sz="12" w:space="0" w:color="0070C0"/>
              <w:bottom w:val="single" w:sz="12" w:space="0" w:color="auto"/>
              <w:right w:val="single" w:sz="12" w:space="0" w:color="0070C0"/>
            </w:tcBorders>
            <w:vAlign w:val="center"/>
          </w:tcPr>
          <w:p w:rsidR="00F20936" w:rsidRPr="00F20936" w:rsidRDefault="00F20936" w:rsidP="00EE354C">
            <w:pPr>
              <w:spacing w:after="0" w:line="240" w:lineRule="auto"/>
              <w:jc w:val="center"/>
              <w:rPr>
                <w:rFonts w:eastAsia="Times New Roman"/>
              </w:rPr>
            </w:pPr>
            <w:r w:rsidRPr="00F20936">
              <w:rPr>
                <w:rFonts w:eastAsia="Times New Roman"/>
              </w:rPr>
              <w:t>1.85</w:t>
            </w:r>
          </w:p>
        </w:tc>
        <w:tc>
          <w:tcPr>
            <w:tcW w:w="744" w:type="dxa"/>
            <w:tcBorders>
              <w:top w:val="single" w:sz="12" w:space="0" w:color="0070C0"/>
              <w:left w:val="single" w:sz="12" w:space="0" w:color="0070C0"/>
              <w:bottom w:val="single" w:sz="12" w:space="0" w:color="auto"/>
              <w:right w:val="single" w:sz="12" w:space="0" w:color="0070C0"/>
            </w:tcBorders>
            <w:vAlign w:val="center"/>
          </w:tcPr>
          <w:p w:rsidR="00F20936" w:rsidRPr="00F20936" w:rsidRDefault="00F20936" w:rsidP="00EE354C">
            <w:pPr>
              <w:spacing w:after="0" w:line="240" w:lineRule="auto"/>
              <w:jc w:val="center"/>
              <w:rPr>
                <w:rFonts w:eastAsia="Times New Roman"/>
              </w:rPr>
            </w:pPr>
            <w:r w:rsidRPr="00F20936">
              <w:rPr>
                <w:rFonts w:eastAsia="Times New Roman"/>
              </w:rPr>
              <w:t>1.924</w:t>
            </w:r>
          </w:p>
        </w:tc>
        <w:tc>
          <w:tcPr>
            <w:tcW w:w="744" w:type="dxa"/>
            <w:tcBorders>
              <w:top w:val="single" w:sz="12" w:space="0" w:color="0070C0"/>
              <w:left w:val="single" w:sz="12" w:space="0" w:color="0070C0"/>
              <w:bottom w:val="single" w:sz="12" w:space="0" w:color="auto"/>
              <w:right w:val="single" w:sz="12" w:space="0" w:color="0070C0"/>
            </w:tcBorders>
            <w:vAlign w:val="center"/>
          </w:tcPr>
          <w:p w:rsidR="00F20936" w:rsidRPr="00F20936" w:rsidRDefault="00F20936" w:rsidP="00EE354C">
            <w:pPr>
              <w:spacing w:after="0" w:line="240" w:lineRule="auto"/>
              <w:jc w:val="center"/>
              <w:rPr>
                <w:rFonts w:eastAsia="Times New Roman"/>
              </w:rPr>
            </w:pPr>
            <w:r w:rsidRPr="00F20936">
              <w:rPr>
                <w:rFonts w:eastAsia="Times New Roman"/>
              </w:rPr>
              <w:t>1.999</w:t>
            </w:r>
          </w:p>
        </w:tc>
        <w:tc>
          <w:tcPr>
            <w:tcW w:w="744" w:type="dxa"/>
            <w:tcBorders>
              <w:top w:val="single" w:sz="12" w:space="0" w:color="0070C0"/>
              <w:left w:val="single" w:sz="12" w:space="0" w:color="0070C0"/>
              <w:bottom w:val="single" w:sz="12" w:space="0" w:color="auto"/>
              <w:right w:val="single" w:sz="12" w:space="0" w:color="0070C0"/>
            </w:tcBorders>
            <w:vAlign w:val="center"/>
          </w:tcPr>
          <w:p w:rsidR="00F20936" w:rsidRPr="00F20936" w:rsidRDefault="00F20936" w:rsidP="00EE354C">
            <w:pPr>
              <w:spacing w:after="0" w:line="240" w:lineRule="auto"/>
              <w:jc w:val="center"/>
              <w:rPr>
                <w:rFonts w:eastAsia="Times New Roman"/>
              </w:rPr>
            </w:pPr>
            <w:r w:rsidRPr="00F20936">
              <w:rPr>
                <w:rFonts w:eastAsia="Times New Roman"/>
              </w:rPr>
              <w:t>2.222</w:t>
            </w:r>
          </w:p>
        </w:tc>
        <w:tc>
          <w:tcPr>
            <w:tcW w:w="744" w:type="dxa"/>
            <w:tcBorders>
              <w:top w:val="single" w:sz="12" w:space="0" w:color="0070C0"/>
              <w:left w:val="single" w:sz="12" w:space="0" w:color="0070C0"/>
              <w:bottom w:val="single" w:sz="12" w:space="0" w:color="auto"/>
              <w:right w:val="single" w:sz="12" w:space="0" w:color="0070C0"/>
            </w:tcBorders>
            <w:vAlign w:val="center"/>
          </w:tcPr>
          <w:p w:rsidR="00F20936" w:rsidRPr="00F20936" w:rsidRDefault="00F20936" w:rsidP="00EE354C">
            <w:pPr>
              <w:spacing w:after="0" w:line="240" w:lineRule="auto"/>
              <w:jc w:val="center"/>
              <w:rPr>
                <w:rFonts w:eastAsia="Times New Roman"/>
              </w:rPr>
            </w:pPr>
            <w:r w:rsidRPr="00F20936">
              <w:rPr>
                <w:rFonts w:eastAsia="Times New Roman"/>
              </w:rPr>
              <w:t>2.409</w:t>
            </w:r>
          </w:p>
        </w:tc>
        <w:tc>
          <w:tcPr>
            <w:tcW w:w="744" w:type="dxa"/>
            <w:tcBorders>
              <w:top w:val="single" w:sz="12" w:space="0" w:color="0070C0"/>
              <w:left w:val="single" w:sz="12" w:space="0" w:color="0070C0"/>
              <w:bottom w:val="single" w:sz="12" w:space="0" w:color="auto"/>
              <w:right w:val="single" w:sz="12" w:space="0" w:color="0070C0"/>
            </w:tcBorders>
            <w:vAlign w:val="center"/>
          </w:tcPr>
          <w:p w:rsidR="00F20936" w:rsidRPr="00F20936" w:rsidRDefault="00F20936" w:rsidP="00EE354C">
            <w:pPr>
              <w:spacing w:after="0" w:line="240" w:lineRule="auto"/>
              <w:jc w:val="center"/>
              <w:rPr>
                <w:rFonts w:eastAsia="Times New Roman"/>
              </w:rPr>
            </w:pPr>
            <w:r w:rsidRPr="00F20936">
              <w:rPr>
                <w:rFonts w:eastAsia="Times New Roman"/>
              </w:rPr>
              <w:t>2.595</w:t>
            </w:r>
          </w:p>
        </w:tc>
        <w:tc>
          <w:tcPr>
            <w:tcW w:w="744" w:type="dxa"/>
            <w:tcBorders>
              <w:top w:val="single" w:sz="12" w:space="0" w:color="0070C0"/>
              <w:left w:val="single" w:sz="12" w:space="0" w:color="0070C0"/>
              <w:bottom w:val="single" w:sz="12" w:space="0" w:color="auto"/>
              <w:right w:val="single" w:sz="12" w:space="0" w:color="0070C0"/>
            </w:tcBorders>
            <w:vAlign w:val="center"/>
          </w:tcPr>
          <w:p w:rsidR="00F20936" w:rsidRPr="00F20936" w:rsidRDefault="00F20936" w:rsidP="00EE354C">
            <w:pPr>
              <w:spacing w:after="0" w:line="240" w:lineRule="auto"/>
              <w:jc w:val="center"/>
              <w:rPr>
                <w:rFonts w:eastAsia="Times New Roman"/>
              </w:rPr>
            </w:pPr>
            <w:r w:rsidRPr="00F20936">
              <w:rPr>
                <w:rFonts w:eastAsia="Times New Roman"/>
              </w:rPr>
              <w:t>2.782</w:t>
            </w:r>
          </w:p>
        </w:tc>
        <w:tc>
          <w:tcPr>
            <w:tcW w:w="745" w:type="dxa"/>
            <w:tcBorders>
              <w:top w:val="single" w:sz="12" w:space="0" w:color="0070C0"/>
              <w:left w:val="single" w:sz="12" w:space="0" w:color="0070C0"/>
              <w:bottom w:val="single" w:sz="12" w:space="0" w:color="auto"/>
              <w:right w:val="single" w:sz="12" w:space="0" w:color="0070C0"/>
            </w:tcBorders>
            <w:vAlign w:val="center"/>
          </w:tcPr>
          <w:p w:rsidR="00F20936" w:rsidRPr="00F20936" w:rsidRDefault="00F20936" w:rsidP="00EE354C">
            <w:pPr>
              <w:spacing w:after="0" w:line="240" w:lineRule="auto"/>
              <w:jc w:val="center"/>
              <w:rPr>
                <w:rFonts w:eastAsia="Times New Roman"/>
              </w:rPr>
            </w:pPr>
            <w:r w:rsidRPr="00F20936">
              <w:rPr>
                <w:rFonts w:eastAsia="Times New Roman"/>
              </w:rPr>
              <w:t>2.893</w:t>
            </w:r>
          </w:p>
        </w:tc>
        <w:tc>
          <w:tcPr>
            <w:tcW w:w="745" w:type="dxa"/>
            <w:tcBorders>
              <w:top w:val="single" w:sz="12" w:space="0" w:color="0070C0"/>
              <w:left w:val="single" w:sz="12" w:space="0" w:color="0070C0"/>
              <w:bottom w:val="single" w:sz="12" w:space="0" w:color="auto"/>
              <w:right w:val="single" w:sz="12" w:space="0" w:color="0070C0"/>
            </w:tcBorders>
            <w:vAlign w:val="center"/>
          </w:tcPr>
          <w:p w:rsidR="00F20936" w:rsidRPr="00F20936" w:rsidRDefault="00F20936" w:rsidP="00EE354C">
            <w:pPr>
              <w:spacing w:after="0" w:line="240" w:lineRule="auto"/>
              <w:jc w:val="center"/>
              <w:rPr>
                <w:rFonts w:eastAsia="Times New Roman"/>
              </w:rPr>
            </w:pPr>
            <w:r w:rsidRPr="00F20936">
              <w:rPr>
                <w:rFonts w:eastAsia="Times New Roman"/>
              </w:rPr>
              <w:t>2.968</w:t>
            </w:r>
          </w:p>
        </w:tc>
        <w:tc>
          <w:tcPr>
            <w:tcW w:w="745" w:type="dxa"/>
            <w:tcBorders>
              <w:top w:val="single" w:sz="12" w:space="0" w:color="0070C0"/>
              <w:left w:val="single" w:sz="12" w:space="0" w:color="0070C0"/>
              <w:bottom w:val="single" w:sz="12" w:space="0" w:color="auto"/>
              <w:right w:val="single" w:sz="12" w:space="0" w:color="0070C0"/>
            </w:tcBorders>
            <w:vAlign w:val="center"/>
          </w:tcPr>
          <w:p w:rsidR="00F20936" w:rsidRPr="00F20936" w:rsidRDefault="00F20936" w:rsidP="00EE354C">
            <w:pPr>
              <w:spacing w:after="0" w:line="240" w:lineRule="auto"/>
              <w:jc w:val="center"/>
              <w:rPr>
                <w:rFonts w:eastAsia="Times New Roman"/>
              </w:rPr>
            </w:pPr>
            <w:r w:rsidRPr="00F20936">
              <w:rPr>
                <w:rFonts w:eastAsia="Times New Roman"/>
              </w:rPr>
              <w:t>3.005</w:t>
            </w:r>
          </w:p>
        </w:tc>
        <w:tc>
          <w:tcPr>
            <w:tcW w:w="745" w:type="dxa"/>
            <w:tcBorders>
              <w:top w:val="single" w:sz="12" w:space="0" w:color="0070C0"/>
              <w:left w:val="single" w:sz="12" w:space="0" w:color="0070C0"/>
              <w:bottom w:val="single" w:sz="12" w:space="0" w:color="auto"/>
              <w:right w:val="single" w:sz="12" w:space="0" w:color="auto"/>
            </w:tcBorders>
            <w:vAlign w:val="center"/>
          </w:tcPr>
          <w:p w:rsidR="00F20936" w:rsidRPr="00F20936" w:rsidRDefault="00F20936" w:rsidP="00EE354C">
            <w:pPr>
              <w:spacing w:after="0" w:line="240" w:lineRule="auto"/>
              <w:jc w:val="center"/>
              <w:rPr>
                <w:rFonts w:eastAsia="Times New Roman"/>
              </w:rPr>
            </w:pPr>
            <w:r w:rsidRPr="00F20936">
              <w:rPr>
                <w:rFonts w:eastAsia="Times New Roman"/>
              </w:rPr>
              <w:t>3.117</w:t>
            </w:r>
          </w:p>
        </w:tc>
      </w:tr>
    </w:tbl>
    <w:p w:rsidR="007A3084" w:rsidRPr="009753F2" w:rsidRDefault="001937D2" w:rsidP="001937D2">
      <w:pPr>
        <w:spacing w:after="0" w:line="240" w:lineRule="auto"/>
        <w:rPr>
          <w:rFonts w:eastAsia="Times New Roman"/>
          <w:b/>
          <w:sz w:val="24"/>
          <w:szCs w:val="24"/>
        </w:rPr>
      </w:pPr>
      <w:r>
        <w:rPr>
          <w:rFonts w:eastAsia="Times New Roman"/>
          <w:b/>
          <w:sz w:val="24"/>
          <w:szCs w:val="24"/>
        </w:rPr>
        <w:tab/>
      </w:r>
      <w:r>
        <w:rPr>
          <w:rFonts w:eastAsia="Times New Roman"/>
          <w:b/>
          <w:sz w:val="24"/>
          <w:szCs w:val="24"/>
        </w:rPr>
        <w:tab/>
      </w:r>
      <w:r>
        <w:rPr>
          <w:rFonts w:eastAsia="Times New Roman"/>
          <w:b/>
          <w:sz w:val="24"/>
          <w:szCs w:val="24"/>
        </w:rPr>
        <w:tab/>
      </w:r>
      <w:r>
        <w:rPr>
          <w:rFonts w:eastAsia="Times New Roman"/>
          <w:b/>
          <w:sz w:val="24"/>
          <w:szCs w:val="24"/>
        </w:rPr>
        <w:tab/>
      </w:r>
      <w:r>
        <w:rPr>
          <w:rFonts w:eastAsia="Times New Roman"/>
          <w:b/>
          <w:sz w:val="24"/>
          <w:szCs w:val="24"/>
        </w:rPr>
        <w:tab/>
      </w:r>
      <w:r>
        <w:rPr>
          <w:rFonts w:eastAsia="Times New Roman"/>
          <w:b/>
          <w:sz w:val="24"/>
          <w:szCs w:val="24"/>
        </w:rPr>
        <w:tab/>
      </w:r>
      <w:r>
        <w:rPr>
          <w:rFonts w:eastAsia="Times New Roman"/>
          <w:b/>
          <w:sz w:val="24"/>
          <w:szCs w:val="24"/>
        </w:rPr>
        <w:tab/>
      </w:r>
    </w:p>
    <w:p w:rsidR="00E30FB8" w:rsidRPr="00BA23A6" w:rsidRDefault="00E30FB8" w:rsidP="00E30FB8">
      <w:pPr>
        <w:spacing w:after="0" w:line="240" w:lineRule="auto"/>
        <w:rPr>
          <w:rFonts w:ascii="Arial" w:eastAsia="Times New Roman" w:hAnsi="Arial" w:cs="Arial"/>
          <w:b/>
          <w:color w:val="002060"/>
          <w:sz w:val="24"/>
          <w:szCs w:val="20"/>
        </w:rPr>
      </w:pPr>
    </w:p>
    <w:tbl>
      <w:tblPr>
        <w:tblW w:w="103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7"/>
      </w:tblGrid>
      <w:tr w:rsidR="00E30FB8" w:rsidRPr="009753F2" w:rsidTr="00EE354C">
        <w:tc>
          <w:tcPr>
            <w:tcW w:w="10377" w:type="dxa"/>
            <w:shd w:val="clear" w:color="auto" w:fill="0070C0"/>
          </w:tcPr>
          <w:p w:rsidR="00E30FB8" w:rsidRPr="009753F2" w:rsidRDefault="00E30FB8" w:rsidP="00E30FB8">
            <w:pPr>
              <w:spacing w:after="0" w:line="240" w:lineRule="auto"/>
              <w:rPr>
                <w:rFonts w:cs="Tahoma"/>
                <w:b/>
                <w:i/>
                <w:sz w:val="28"/>
                <w:szCs w:val="28"/>
              </w:rPr>
            </w:pPr>
            <w:r w:rsidRPr="009753F2">
              <w:rPr>
                <w:rFonts w:eastAsia="Times New Roman" w:cs="Arial"/>
                <w:b/>
                <w:color w:val="FFFFFF"/>
                <w:sz w:val="28"/>
                <w:szCs w:val="28"/>
              </w:rPr>
              <w:t>PRE-COMMISSIONING INFORMATION</w:t>
            </w:r>
          </w:p>
        </w:tc>
      </w:tr>
    </w:tbl>
    <w:p w:rsidR="00E30FB8" w:rsidRPr="009753F2" w:rsidRDefault="00E30FB8" w:rsidP="00E30FB8">
      <w:pPr>
        <w:spacing w:after="0" w:line="240" w:lineRule="auto"/>
        <w:rPr>
          <w:rFonts w:eastAsia="Times New Roman" w:cs="Arial"/>
          <w:color w:val="002060"/>
          <w:sz w:val="24"/>
          <w:szCs w:val="20"/>
        </w:rPr>
      </w:pPr>
    </w:p>
    <w:p w:rsidR="006356CC" w:rsidRPr="009753F2" w:rsidRDefault="00E30FB8" w:rsidP="00E30FB8">
      <w:pPr>
        <w:spacing w:after="0" w:line="240" w:lineRule="auto"/>
        <w:rPr>
          <w:rFonts w:cs="Tahoma"/>
          <w:b/>
          <w:color w:val="000000"/>
          <w:sz w:val="20"/>
          <w:szCs w:val="20"/>
          <w:u w:val="single"/>
        </w:rPr>
      </w:pPr>
      <w:r w:rsidRPr="009753F2">
        <w:rPr>
          <w:rFonts w:eastAsia="Times New Roman" w:cs="Arial"/>
          <w:color w:val="002060"/>
          <w:sz w:val="20"/>
          <w:szCs w:val="20"/>
        </w:rPr>
        <w:t>The system should be thoroughly tested for leaks prior to filling with fluid and commissioning. If the system is suspected of being contaminated with excess levels of debris which would not normally be being picked up by a suitable strainer, or if it has previously been filled with a fluid which is considered to be at the end of its working life, consideration should be given to flushing it with an OIL-UK Flushing Oil or OIL-UK Flushing Additive Concentrate to remove varnishes and oxidised materials. Water must not be used. If flushing is to be applied, the system should thereafter be drained completely and filled with new OIL-UK Therm</w:t>
      </w:r>
      <w:r w:rsidR="00454659" w:rsidRPr="009753F2">
        <w:rPr>
          <w:rFonts w:eastAsia="Times New Roman" w:cs="Arial"/>
          <w:color w:val="002060"/>
          <w:sz w:val="20"/>
          <w:szCs w:val="20"/>
        </w:rPr>
        <w:t>altrans FG</w:t>
      </w:r>
      <w:r w:rsidRPr="009753F2">
        <w:rPr>
          <w:rFonts w:eastAsia="Times New Roman" w:cs="Arial"/>
          <w:color w:val="002060"/>
          <w:sz w:val="20"/>
          <w:szCs w:val="20"/>
        </w:rPr>
        <w:t xml:space="preserve"> heat transfer fluid up to a level in the expansion chamber which represents 30-45% of the level expected at operating temperature. All air must be evacuated from the system prior to the temperature reaching operating level. </w:t>
      </w:r>
      <w:r w:rsidR="00E11621" w:rsidRPr="009753F2">
        <w:rPr>
          <w:rFonts w:eastAsia="Times New Roman" w:cs="Arial"/>
          <w:color w:val="002060"/>
          <w:sz w:val="20"/>
          <w:szCs w:val="20"/>
        </w:rPr>
        <w:t>O</w:t>
      </w:r>
      <w:r w:rsidRPr="009753F2">
        <w:rPr>
          <w:rFonts w:eastAsia="Times New Roman" w:cs="Arial"/>
          <w:color w:val="002060"/>
          <w:sz w:val="20"/>
          <w:szCs w:val="20"/>
        </w:rPr>
        <w:t>il expands when heated so an expansion chamber must be incorporated in the system and a suitable low level alarm switch is strongly recommended to be fitted on the expansion tank. This is the only location where the oil is likely to be in contact with the atmosphere. Precautions must be taken to ensure that exposure to air is minimised, especially if the temperature of the oil in the expansion chamber is likely to exceed 50°C. A floating cover can be used or the oil can be blanketed with inert gas.</w:t>
      </w:r>
    </w:p>
    <w:p w:rsidR="006356CC" w:rsidRPr="009753F2" w:rsidRDefault="006356CC" w:rsidP="006356CC">
      <w:pPr>
        <w:spacing w:after="0"/>
        <w:rPr>
          <w:rFonts w:cs="Tahoma"/>
          <w:b/>
          <w:color w:val="000000"/>
          <w:sz w:val="18"/>
          <w:szCs w:val="18"/>
          <w:u w:val="single"/>
        </w:rPr>
      </w:pPr>
    </w:p>
    <w:sectPr w:rsidR="006356CC" w:rsidRPr="009753F2" w:rsidSect="00395F5F">
      <w:type w:val="continuous"/>
      <w:pgSz w:w="11906" w:h="16838"/>
      <w:pgMar w:top="720" w:right="720" w:bottom="720" w:left="720" w:header="709" w:footer="709" w:gutter="0"/>
      <w:pgBorders w:offsetFrom="page">
        <w:top w:val="single" w:sz="18" w:space="24" w:color="000080"/>
        <w:left w:val="single" w:sz="18" w:space="24" w:color="000080"/>
        <w:bottom w:val="single" w:sz="18" w:space="24" w:color="000080"/>
        <w:right w:val="single" w:sz="18" w:space="24" w:color="000080"/>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442" w:rsidRDefault="00AF5442">
      <w:r>
        <w:separator/>
      </w:r>
    </w:p>
  </w:endnote>
  <w:endnote w:type="continuationSeparator" w:id="0">
    <w:p w:rsidR="00AF5442" w:rsidRDefault="00AF5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6A1" w:rsidRDefault="00D456A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989" w:rsidRPr="00D47989" w:rsidRDefault="00D47989" w:rsidP="00D47989">
    <w:pPr>
      <w:spacing w:after="0" w:line="259" w:lineRule="auto"/>
      <w:jc w:val="center"/>
      <w:rPr>
        <w:rFonts w:ascii="Century Gothic" w:hAnsi="Century Gothic"/>
        <w:b/>
      </w:rPr>
    </w:pPr>
    <w:r w:rsidRPr="00D47989">
      <w:rPr>
        <w:rFonts w:ascii="Century Gothic" w:hAnsi="Century Gothic"/>
        <w:b/>
      </w:rPr>
      <w:t xml:space="preserve">OIL-UK </w:t>
    </w:r>
    <w:r w:rsidR="008666C6">
      <w:rPr>
        <w:rFonts w:ascii="Century Gothic" w:hAnsi="Century Gothic"/>
        <w:b/>
      </w:rPr>
      <w:t>Ltd</w:t>
    </w:r>
  </w:p>
  <w:p w:rsidR="00D47989" w:rsidRPr="00D47989" w:rsidRDefault="00D47989" w:rsidP="00D47989">
    <w:pPr>
      <w:spacing w:after="0" w:line="259" w:lineRule="auto"/>
      <w:jc w:val="center"/>
      <w:rPr>
        <w:rFonts w:ascii="Century Gothic" w:hAnsi="Century Gothic"/>
      </w:rPr>
    </w:pPr>
    <w:r w:rsidRPr="00D47989">
      <w:rPr>
        <w:rFonts w:ascii="Century Gothic" w:hAnsi="Century Gothic"/>
      </w:rPr>
      <w:t>20-22 Wenlock Road London N1 7GU United Kingdom</w:t>
    </w:r>
  </w:p>
  <w:p w:rsidR="00D47989" w:rsidRPr="00D47989" w:rsidRDefault="00D47989" w:rsidP="00D47989">
    <w:pPr>
      <w:spacing w:after="0" w:line="240" w:lineRule="auto"/>
      <w:jc w:val="center"/>
      <w:rPr>
        <w:rFonts w:ascii="Century Gothic" w:eastAsia="Times New Roman" w:hAnsi="Century Gothic" w:cs="Arial"/>
      </w:rPr>
    </w:pPr>
    <w:r w:rsidRPr="00D47989">
      <w:rPr>
        <w:rFonts w:ascii="Century Gothic" w:eastAsia="Times New Roman" w:hAnsi="Century Gothic" w:cs="Arial"/>
      </w:rPr>
      <w:t>Tel: 0044(0)845 430 5515 Fax: 0044(0)845 430 5595</w:t>
    </w:r>
  </w:p>
  <w:p w:rsidR="00D47989" w:rsidRPr="00D47989" w:rsidRDefault="00AF5442" w:rsidP="00D47989">
    <w:pPr>
      <w:spacing w:after="160" w:line="259" w:lineRule="auto"/>
      <w:jc w:val="center"/>
      <w:rPr>
        <w:rFonts w:ascii="Calibri-Bold" w:eastAsia="Times New Roman" w:hAnsi="Calibri-Bold" w:cs="Calibri-Bold"/>
        <w:sz w:val="24"/>
        <w:szCs w:val="24"/>
      </w:rPr>
    </w:pPr>
    <w:hyperlink r:id="rId1" w:history="1">
      <w:r w:rsidR="00D47989" w:rsidRPr="00D47989">
        <w:rPr>
          <w:rFonts w:ascii="Century Gothic" w:eastAsia="Times New Roman" w:hAnsi="Century Gothic" w:cs="Arial"/>
          <w:color w:val="0000FF"/>
          <w:u w:val="single"/>
        </w:rPr>
        <w:t>info@oiluk.net</w:t>
      </w:r>
    </w:hyperlink>
    <w:r w:rsidR="00D47989" w:rsidRPr="00D47989">
      <w:rPr>
        <w:rFonts w:ascii="Century Gothic" w:eastAsia="Times New Roman" w:hAnsi="Century Gothic" w:cs="Arial"/>
      </w:rPr>
      <w:t xml:space="preserve">  </w:t>
    </w:r>
    <w:hyperlink r:id="rId2" w:history="1">
      <w:r w:rsidR="00D47989" w:rsidRPr="00D47989">
        <w:rPr>
          <w:rFonts w:ascii="Century Gothic" w:eastAsia="Times New Roman" w:hAnsi="Century Gothic" w:cs="Arial"/>
          <w:color w:val="0000FF"/>
          <w:u w:val="single"/>
        </w:rPr>
        <w:t>www.oiluk.net</w:t>
      </w:r>
    </w:hyperlink>
  </w:p>
  <w:p w:rsidR="00F061A2" w:rsidRPr="00D47989" w:rsidRDefault="008A06C7" w:rsidP="00913E73">
    <w:pPr>
      <w:pStyle w:val="Footer"/>
      <w:jc w:val="center"/>
    </w:pPr>
    <w:r w:rsidRPr="006B2A5E">
      <w:rPr>
        <w:noProof/>
        <w:color w:val="0000FF"/>
        <w:sz w:val="27"/>
        <w:szCs w:val="27"/>
        <w:lang w:eastAsia="en-GB"/>
      </w:rPr>
      <w:drawing>
        <wp:inline distT="0" distB="0" distL="0" distR="0">
          <wp:extent cx="619125" cy="685800"/>
          <wp:effectExtent l="0" t="0" r="0" b="0"/>
          <wp:docPr id="2" name="Picture 1" descr="http://www.britishhardwoods.co.uk/media/wysiwyg/made-in-britain-logo.jp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ritishhardwoods.co.uk/media/wysiwyg/made-in-britain-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6A1" w:rsidRDefault="00D456A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442" w:rsidRDefault="00AF5442">
      <w:r>
        <w:separator/>
      </w:r>
    </w:p>
  </w:footnote>
  <w:footnote w:type="continuationSeparator" w:id="0">
    <w:p w:rsidR="00AF5442" w:rsidRDefault="00AF544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6A1" w:rsidRDefault="00D456A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504" w:rsidRDefault="008666C6" w:rsidP="00E31504">
    <w:pPr>
      <w:pStyle w:val="Header"/>
      <w:tabs>
        <w:tab w:val="left" w:pos="4455"/>
      </w:tabs>
      <w:spacing w:after="0"/>
      <w:ind w:right="-567"/>
      <w:jc w:val="right"/>
      <w:rPr>
        <w:rFonts w:ascii="Arial" w:hAnsi="Arial" w:cs="Arial"/>
      </w:rPr>
    </w:pPr>
    <w:r>
      <w:rPr>
        <w:noProof/>
        <w:lang w:eastAsia="en-GB"/>
      </w:rPr>
      <w:t xml:space="preserve">   </w:t>
    </w:r>
    <w:r w:rsidR="008A06C7" w:rsidRPr="003C6E57">
      <w:rPr>
        <w:noProof/>
        <w:lang w:eastAsia="en-GB"/>
      </w:rPr>
      <w:drawing>
        <wp:inline distT="0" distB="0" distL="0" distR="0">
          <wp:extent cx="2000250" cy="647700"/>
          <wp:effectExtent l="0" t="0" r="0" b="0"/>
          <wp:docPr id="1" name="Picture 1" descr="C:\Users\Philip\Documents\1. OIL UK LABELS\A4 Labe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ilip\Documents\1. OIL UK LABELS\A4 Label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647700"/>
                  </a:xfrm>
                  <a:prstGeom prst="rect">
                    <a:avLst/>
                  </a:prstGeom>
                  <a:noFill/>
                  <a:ln>
                    <a:noFill/>
                  </a:ln>
                </pic:spPr>
              </pic:pic>
            </a:graphicData>
          </a:graphic>
        </wp:inline>
      </w:drawing>
    </w:r>
    <w:r w:rsidR="00E31504" w:rsidRPr="00E31504">
      <w:rPr>
        <w:rFonts w:ascii="Century Gothic" w:hAnsi="Century Gothic" w:cs="Arial"/>
        <w:b/>
        <w:sz w:val="52"/>
        <w:szCs w:val="52"/>
      </w:rPr>
      <w:t xml:space="preserve"> </w:t>
    </w:r>
    <w:r w:rsidR="00E31504">
      <w:rPr>
        <w:rFonts w:ascii="Century Gothic" w:hAnsi="Century Gothic" w:cs="Arial"/>
        <w:b/>
        <w:sz w:val="52"/>
        <w:szCs w:val="52"/>
      </w:rPr>
      <w:t xml:space="preserve">HIGH PERFORMANCE </w:t>
    </w:r>
    <w:r w:rsidR="00E31504" w:rsidRPr="00E31504">
      <w:rPr>
        <w:rFonts w:ascii="Century Gothic" w:hAnsi="Century Gothic" w:cs="Arial"/>
        <w:b/>
        <w:sz w:val="52"/>
        <w:szCs w:val="52"/>
      </w:rPr>
      <w:t>HEAT TRANSFER FLUIDS</w:t>
    </w:r>
    <w:r w:rsidR="00913E73">
      <w:rPr>
        <w:rFonts w:ascii="Arial" w:hAnsi="Arial" w:cs="Arial"/>
      </w:rPr>
      <w:tab/>
    </w:r>
  </w:p>
  <w:p w:rsidR="00F75074" w:rsidRDefault="00F75074" w:rsidP="00E31504">
    <w:pPr>
      <w:pStyle w:val="Header"/>
      <w:tabs>
        <w:tab w:val="left" w:pos="4455"/>
      </w:tabs>
      <w:spacing w:after="0"/>
      <w:ind w:right="-567"/>
      <w:rPr>
        <w:rFonts w:ascii="Century Gothic" w:hAnsi="Century Gothic" w:cs="Arial"/>
        <w:b/>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E31504" w:rsidRPr="00E31504" w:rsidTr="00E31504">
      <w:tc>
        <w:tcPr>
          <w:tcW w:w="10490" w:type="dxa"/>
          <w:shd w:val="clear" w:color="auto" w:fill="0070C0"/>
        </w:tcPr>
        <w:p w:rsidR="002442BB" w:rsidRPr="00E31504" w:rsidRDefault="002442BB" w:rsidP="00E31504">
          <w:pPr>
            <w:autoSpaceDE w:val="0"/>
            <w:autoSpaceDN w:val="0"/>
            <w:adjustRightInd w:val="0"/>
            <w:spacing w:after="0" w:line="240" w:lineRule="auto"/>
            <w:rPr>
              <w:rFonts w:ascii="Century Gothic" w:eastAsia="Times New Roman" w:hAnsi="Century Gothic" w:cs="Book Antiqua"/>
              <w:b/>
              <w:color w:val="FFFFFF" w:themeColor="background1"/>
              <w:sz w:val="44"/>
              <w:szCs w:val="44"/>
              <w:lang w:eastAsia="en-GB"/>
            </w:rPr>
          </w:pPr>
          <w:r w:rsidRPr="00E31504">
            <w:rPr>
              <w:rFonts w:ascii="Century Gothic" w:eastAsia="Times New Roman" w:hAnsi="Century Gothic" w:cs="Book Antiqua"/>
              <w:b/>
              <w:color w:val="FFFFFF" w:themeColor="background1"/>
              <w:sz w:val="44"/>
              <w:szCs w:val="44"/>
              <w:lang w:eastAsia="en-GB"/>
            </w:rPr>
            <w:t>OIL-UK THERM</w:t>
          </w:r>
          <w:r w:rsidR="00387FE0" w:rsidRPr="00E31504">
            <w:rPr>
              <w:rFonts w:ascii="Century Gothic" w:eastAsia="Times New Roman" w:hAnsi="Century Gothic" w:cs="Book Antiqua"/>
              <w:b/>
              <w:color w:val="FFFFFF" w:themeColor="background1"/>
              <w:sz w:val="44"/>
              <w:szCs w:val="44"/>
              <w:lang w:eastAsia="en-GB"/>
            </w:rPr>
            <w:t>ALTRANS</w:t>
          </w:r>
          <w:r w:rsidR="00D456A1" w:rsidRPr="00D456A1">
            <w:rPr>
              <mc:AlternateContent>
                <mc:Choice Requires="w16se">
                  <w:rFonts w:ascii="Century Gothic" w:eastAsia="Times New Roman" w:hAnsi="Century Gothic" w:cs="Book Antiqua"/>
                </mc:Choice>
                <mc:Fallback>
                  <w:rFonts w:ascii="Segoe UI Emoji" w:eastAsia="Segoe UI Emoji" w:hAnsi="Segoe UI Emoji" w:cs="Segoe UI Emoji"/>
                </mc:Fallback>
              </mc:AlternateContent>
              <w:b/>
              <w:color w:val="FFFFFF" w:themeColor="background1"/>
              <w:sz w:val="18"/>
              <w:szCs w:val="18"/>
              <w:lang w:eastAsia="en-GB"/>
            </w:rPr>
            <mc:AlternateContent>
              <mc:Choice Requires="w16se">
                <w16se:symEx w16se:font="Segoe UI Emoji" w16se:char="00AE"/>
              </mc:Choice>
              <mc:Fallback>
                <w:t>®</w:t>
              </mc:Fallback>
            </mc:AlternateContent>
          </w:r>
          <w:r w:rsidR="00387FE0" w:rsidRPr="00E31504">
            <w:rPr>
              <w:rFonts w:ascii="Century Gothic" w:eastAsia="Times New Roman" w:hAnsi="Century Gothic" w:cs="Book Antiqua"/>
              <w:b/>
              <w:color w:val="FFFFFF" w:themeColor="background1"/>
              <w:sz w:val="44"/>
              <w:szCs w:val="44"/>
              <w:lang w:eastAsia="en-GB"/>
            </w:rPr>
            <w:t xml:space="preserve"> FG</w:t>
          </w:r>
        </w:p>
        <w:p w:rsidR="00E31504" w:rsidRPr="00E31504" w:rsidRDefault="00E31504" w:rsidP="00E31504">
          <w:pPr>
            <w:pStyle w:val="Header"/>
            <w:spacing w:after="0"/>
            <w:ind w:right="-567"/>
            <w:rPr>
              <w:color w:val="FFFFFF" w:themeColor="background1"/>
              <w:sz w:val="28"/>
              <w:szCs w:val="28"/>
            </w:rPr>
          </w:pPr>
          <w:r w:rsidRPr="00E31504">
            <w:rPr>
              <w:rFonts w:ascii="Century Gothic" w:hAnsi="Century Gothic" w:cs="Arial"/>
              <w:b/>
              <w:color w:val="FFFFFF" w:themeColor="background1"/>
              <w:sz w:val="28"/>
              <w:szCs w:val="28"/>
            </w:rPr>
            <w:t xml:space="preserve">ULTRA-HIGH </w:t>
          </w:r>
          <w:r>
            <w:rPr>
              <w:rFonts w:ascii="Century Gothic" w:hAnsi="Century Gothic" w:cs="Arial"/>
              <w:b/>
              <w:color w:val="FFFFFF" w:themeColor="background1"/>
              <w:sz w:val="28"/>
              <w:szCs w:val="28"/>
            </w:rPr>
            <w:t>TEMPERATURE</w:t>
          </w:r>
          <w:r w:rsidRPr="00E31504">
            <w:rPr>
              <w:rFonts w:ascii="Century Gothic" w:hAnsi="Century Gothic" w:cs="Arial"/>
              <w:b/>
              <w:color w:val="FFFFFF" w:themeColor="background1"/>
              <w:sz w:val="28"/>
              <w:szCs w:val="28"/>
            </w:rPr>
            <w:t xml:space="preserve"> </w:t>
          </w:r>
          <w:r w:rsidR="00390305">
            <w:rPr>
              <w:rFonts w:ascii="Century Gothic" w:hAnsi="Century Gothic" w:cs="Arial"/>
              <w:b/>
              <w:color w:val="FFFFFF" w:themeColor="background1"/>
              <w:sz w:val="28"/>
              <w:szCs w:val="28"/>
            </w:rPr>
            <w:t>F</w:t>
          </w:r>
          <w:r w:rsidR="00383054">
            <w:rPr>
              <w:rFonts w:ascii="Century Gothic" w:hAnsi="Century Gothic" w:cs="Arial"/>
              <w:b/>
              <w:color w:val="FFFFFF" w:themeColor="background1"/>
              <w:sz w:val="28"/>
              <w:szCs w:val="28"/>
            </w:rPr>
            <w:t>OOD</w:t>
          </w:r>
          <w:r w:rsidR="00390305">
            <w:rPr>
              <w:rFonts w:ascii="Century Gothic" w:hAnsi="Century Gothic" w:cs="Arial"/>
              <w:b/>
              <w:color w:val="FFFFFF" w:themeColor="background1"/>
              <w:sz w:val="28"/>
              <w:szCs w:val="28"/>
            </w:rPr>
            <w:t xml:space="preserve"> APPROVED </w:t>
          </w:r>
          <w:r w:rsidRPr="00E31504">
            <w:rPr>
              <w:rFonts w:ascii="Century Gothic" w:hAnsi="Century Gothic" w:cs="Arial"/>
              <w:b/>
              <w:color w:val="FFFFFF" w:themeColor="background1"/>
              <w:sz w:val="28"/>
              <w:szCs w:val="28"/>
            </w:rPr>
            <w:t xml:space="preserve">HEAT TRANSFER FLUID </w:t>
          </w:r>
        </w:p>
        <w:p w:rsidR="00E31504" w:rsidRPr="00E31504" w:rsidRDefault="00E31504" w:rsidP="00387FE0">
          <w:pPr>
            <w:autoSpaceDE w:val="0"/>
            <w:autoSpaceDN w:val="0"/>
            <w:adjustRightInd w:val="0"/>
            <w:spacing w:after="0" w:line="240" w:lineRule="auto"/>
            <w:jc w:val="right"/>
            <w:rPr>
              <w:rFonts w:ascii="Century Gothic" w:hAnsi="Century Gothic" w:cs="Tahoma"/>
              <w:b/>
              <w:i/>
              <w:color w:val="FFFFFF" w:themeColor="background1"/>
            </w:rPr>
          </w:pPr>
        </w:p>
      </w:tc>
    </w:tr>
  </w:tbl>
  <w:p w:rsidR="002A60E6" w:rsidRPr="00387FE0" w:rsidRDefault="002A60E6" w:rsidP="00E31504">
    <w:pPr>
      <w:pStyle w:val="Header"/>
      <w:spacing w:after="0"/>
      <w:ind w:right="-567"/>
      <w:jc w:val="center"/>
      <w:rPr>
        <w:sz w:val="28"/>
        <w:szCs w:val="28"/>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6A1" w:rsidRDefault="00D456A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46836"/>
    <w:multiLevelType w:val="hybridMultilevel"/>
    <w:tmpl w:val="51CEB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566E98"/>
    <w:multiLevelType w:val="hybridMultilevel"/>
    <w:tmpl w:val="1BE48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6179BA"/>
    <w:multiLevelType w:val="hybridMultilevel"/>
    <w:tmpl w:val="2A7C4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B202B3"/>
    <w:multiLevelType w:val="hybridMultilevel"/>
    <w:tmpl w:val="86B8CC4A"/>
    <w:lvl w:ilvl="0" w:tplc="D8D4D68A">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4" w15:restartNumberingAfterBreak="0">
    <w:nsid w:val="2BDA7854"/>
    <w:multiLevelType w:val="hybridMultilevel"/>
    <w:tmpl w:val="0E9277D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6B2675A"/>
    <w:multiLevelType w:val="hybridMultilevel"/>
    <w:tmpl w:val="44BA00BE"/>
    <w:lvl w:ilvl="0" w:tplc="D8D4D68A">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6" w15:restartNumberingAfterBreak="0">
    <w:nsid w:val="50D54948"/>
    <w:multiLevelType w:val="hybridMultilevel"/>
    <w:tmpl w:val="091A8A66"/>
    <w:lvl w:ilvl="0" w:tplc="D8D4D68A">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7" w15:restartNumberingAfterBreak="0">
    <w:nsid w:val="52E84658"/>
    <w:multiLevelType w:val="hybridMultilevel"/>
    <w:tmpl w:val="DE1C8836"/>
    <w:lvl w:ilvl="0" w:tplc="D8D4D68A">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8" w15:restartNumberingAfterBreak="0">
    <w:nsid w:val="53B87D44"/>
    <w:multiLevelType w:val="hybridMultilevel"/>
    <w:tmpl w:val="BB16D04C"/>
    <w:lvl w:ilvl="0" w:tplc="D8D4D68A">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9" w15:restartNumberingAfterBreak="0">
    <w:nsid w:val="54B27D31"/>
    <w:multiLevelType w:val="hybridMultilevel"/>
    <w:tmpl w:val="4C721C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816081D"/>
    <w:multiLevelType w:val="hybridMultilevel"/>
    <w:tmpl w:val="EFDA3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467F82"/>
    <w:multiLevelType w:val="hybridMultilevel"/>
    <w:tmpl w:val="FC4C72A4"/>
    <w:lvl w:ilvl="0" w:tplc="D8D4D68A">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2" w15:restartNumberingAfterBreak="0">
    <w:nsid w:val="5E3D114B"/>
    <w:multiLevelType w:val="hybridMultilevel"/>
    <w:tmpl w:val="4F363758"/>
    <w:lvl w:ilvl="0" w:tplc="08090001">
      <w:start w:val="1"/>
      <w:numFmt w:val="bullet"/>
      <w:lvlText w:val=""/>
      <w:lvlJc w:val="left"/>
      <w:pPr>
        <w:ind w:left="769" w:hanging="360"/>
      </w:pPr>
      <w:rPr>
        <w:rFonts w:ascii="Symbol" w:hAnsi="Symbol" w:hint="default"/>
      </w:rPr>
    </w:lvl>
    <w:lvl w:ilvl="1" w:tplc="08090003" w:tentative="1">
      <w:start w:val="1"/>
      <w:numFmt w:val="bullet"/>
      <w:lvlText w:val="o"/>
      <w:lvlJc w:val="left"/>
      <w:pPr>
        <w:ind w:left="1489" w:hanging="360"/>
      </w:pPr>
      <w:rPr>
        <w:rFonts w:ascii="Courier New" w:hAnsi="Courier New" w:cs="Courier New" w:hint="default"/>
      </w:rPr>
    </w:lvl>
    <w:lvl w:ilvl="2" w:tplc="08090005" w:tentative="1">
      <w:start w:val="1"/>
      <w:numFmt w:val="bullet"/>
      <w:lvlText w:val=""/>
      <w:lvlJc w:val="left"/>
      <w:pPr>
        <w:ind w:left="2209" w:hanging="360"/>
      </w:pPr>
      <w:rPr>
        <w:rFonts w:ascii="Wingdings" w:hAnsi="Wingdings" w:hint="default"/>
      </w:rPr>
    </w:lvl>
    <w:lvl w:ilvl="3" w:tplc="08090001" w:tentative="1">
      <w:start w:val="1"/>
      <w:numFmt w:val="bullet"/>
      <w:lvlText w:val=""/>
      <w:lvlJc w:val="left"/>
      <w:pPr>
        <w:ind w:left="2929" w:hanging="360"/>
      </w:pPr>
      <w:rPr>
        <w:rFonts w:ascii="Symbol" w:hAnsi="Symbol" w:hint="default"/>
      </w:rPr>
    </w:lvl>
    <w:lvl w:ilvl="4" w:tplc="08090003" w:tentative="1">
      <w:start w:val="1"/>
      <w:numFmt w:val="bullet"/>
      <w:lvlText w:val="o"/>
      <w:lvlJc w:val="left"/>
      <w:pPr>
        <w:ind w:left="3649" w:hanging="360"/>
      </w:pPr>
      <w:rPr>
        <w:rFonts w:ascii="Courier New" w:hAnsi="Courier New" w:cs="Courier New" w:hint="default"/>
      </w:rPr>
    </w:lvl>
    <w:lvl w:ilvl="5" w:tplc="08090005" w:tentative="1">
      <w:start w:val="1"/>
      <w:numFmt w:val="bullet"/>
      <w:lvlText w:val=""/>
      <w:lvlJc w:val="left"/>
      <w:pPr>
        <w:ind w:left="4369" w:hanging="360"/>
      </w:pPr>
      <w:rPr>
        <w:rFonts w:ascii="Wingdings" w:hAnsi="Wingdings" w:hint="default"/>
      </w:rPr>
    </w:lvl>
    <w:lvl w:ilvl="6" w:tplc="08090001" w:tentative="1">
      <w:start w:val="1"/>
      <w:numFmt w:val="bullet"/>
      <w:lvlText w:val=""/>
      <w:lvlJc w:val="left"/>
      <w:pPr>
        <w:ind w:left="5089" w:hanging="360"/>
      </w:pPr>
      <w:rPr>
        <w:rFonts w:ascii="Symbol" w:hAnsi="Symbol" w:hint="default"/>
      </w:rPr>
    </w:lvl>
    <w:lvl w:ilvl="7" w:tplc="08090003" w:tentative="1">
      <w:start w:val="1"/>
      <w:numFmt w:val="bullet"/>
      <w:lvlText w:val="o"/>
      <w:lvlJc w:val="left"/>
      <w:pPr>
        <w:ind w:left="5809" w:hanging="360"/>
      </w:pPr>
      <w:rPr>
        <w:rFonts w:ascii="Courier New" w:hAnsi="Courier New" w:cs="Courier New" w:hint="default"/>
      </w:rPr>
    </w:lvl>
    <w:lvl w:ilvl="8" w:tplc="08090005" w:tentative="1">
      <w:start w:val="1"/>
      <w:numFmt w:val="bullet"/>
      <w:lvlText w:val=""/>
      <w:lvlJc w:val="left"/>
      <w:pPr>
        <w:ind w:left="6529" w:hanging="360"/>
      </w:pPr>
      <w:rPr>
        <w:rFonts w:ascii="Wingdings" w:hAnsi="Wingdings" w:hint="default"/>
      </w:rPr>
    </w:lvl>
  </w:abstractNum>
  <w:abstractNum w:abstractNumId="13" w15:restartNumberingAfterBreak="0">
    <w:nsid w:val="67FE458F"/>
    <w:multiLevelType w:val="hybridMultilevel"/>
    <w:tmpl w:val="91201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79637D"/>
    <w:multiLevelType w:val="hybridMultilevel"/>
    <w:tmpl w:val="1A628B80"/>
    <w:lvl w:ilvl="0" w:tplc="D8D4D68A">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5" w15:restartNumberingAfterBreak="0">
    <w:nsid w:val="734E4A7C"/>
    <w:multiLevelType w:val="hybridMultilevel"/>
    <w:tmpl w:val="8EAE31AE"/>
    <w:lvl w:ilvl="0" w:tplc="D8D4D68A">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6" w15:restartNumberingAfterBreak="0">
    <w:nsid w:val="734F6EE8"/>
    <w:multiLevelType w:val="hybridMultilevel"/>
    <w:tmpl w:val="01509DF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4D30C63"/>
    <w:multiLevelType w:val="hybridMultilevel"/>
    <w:tmpl w:val="D8DAD2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1"/>
  </w:num>
  <w:num w:numId="3">
    <w:abstractNumId w:val="8"/>
  </w:num>
  <w:num w:numId="4">
    <w:abstractNumId w:val="14"/>
  </w:num>
  <w:num w:numId="5">
    <w:abstractNumId w:val="3"/>
  </w:num>
  <w:num w:numId="6">
    <w:abstractNumId w:val="7"/>
  </w:num>
  <w:num w:numId="7">
    <w:abstractNumId w:val="5"/>
  </w:num>
  <w:num w:numId="8">
    <w:abstractNumId w:val="6"/>
  </w:num>
  <w:num w:numId="9">
    <w:abstractNumId w:val="4"/>
  </w:num>
  <w:num w:numId="10">
    <w:abstractNumId w:val="9"/>
  </w:num>
  <w:num w:numId="11">
    <w:abstractNumId w:val="17"/>
  </w:num>
  <w:num w:numId="12">
    <w:abstractNumId w:val="12"/>
  </w:num>
  <w:num w:numId="13">
    <w:abstractNumId w:val="13"/>
  </w:num>
  <w:num w:numId="14">
    <w:abstractNumId w:val="0"/>
  </w:num>
  <w:num w:numId="15">
    <w:abstractNumId w:val="10"/>
  </w:num>
  <w:num w:numId="16">
    <w:abstractNumId w:val="1"/>
  </w:num>
  <w:num w:numId="17">
    <w:abstractNumId w:val="1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E9A"/>
    <w:rsid w:val="000013B2"/>
    <w:rsid w:val="0000233B"/>
    <w:rsid w:val="0003448D"/>
    <w:rsid w:val="00060605"/>
    <w:rsid w:val="00081871"/>
    <w:rsid w:val="000A4BAF"/>
    <w:rsid w:val="000B7BA8"/>
    <w:rsid w:val="001150A0"/>
    <w:rsid w:val="00127E11"/>
    <w:rsid w:val="00133C43"/>
    <w:rsid w:val="00155F2B"/>
    <w:rsid w:val="001937D2"/>
    <w:rsid w:val="001A5B2F"/>
    <w:rsid w:val="00211B7F"/>
    <w:rsid w:val="00231FC9"/>
    <w:rsid w:val="002349AF"/>
    <w:rsid w:val="002442BB"/>
    <w:rsid w:val="002537D2"/>
    <w:rsid w:val="00254212"/>
    <w:rsid w:val="00294D53"/>
    <w:rsid w:val="002A60E6"/>
    <w:rsid w:val="002A7AF9"/>
    <w:rsid w:val="002B5EB6"/>
    <w:rsid w:val="002D4F6C"/>
    <w:rsid w:val="0031273A"/>
    <w:rsid w:val="00324A3B"/>
    <w:rsid w:val="00381C4F"/>
    <w:rsid w:val="00383054"/>
    <w:rsid w:val="00387FE0"/>
    <w:rsid w:val="00390305"/>
    <w:rsid w:val="00395F5F"/>
    <w:rsid w:val="003A2A69"/>
    <w:rsid w:val="003A5C94"/>
    <w:rsid w:val="003C7266"/>
    <w:rsid w:val="003D0BEF"/>
    <w:rsid w:val="003F00E5"/>
    <w:rsid w:val="003F4CE1"/>
    <w:rsid w:val="00413DB9"/>
    <w:rsid w:val="0042338D"/>
    <w:rsid w:val="004507CD"/>
    <w:rsid w:val="00454659"/>
    <w:rsid w:val="00472EC7"/>
    <w:rsid w:val="00494766"/>
    <w:rsid w:val="004A1DCB"/>
    <w:rsid w:val="004B3A23"/>
    <w:rsid w:val="004D528E"/>
    <w:rsid w:val="004E20F1"/>
    <w:rsid w:val="004E7E9A"/>
    <w:rsid w:val="00513CA2"/>
    <w:rsid w:val="00520008"/>
    <w:rsid w:val="0055237A"/>
    <w:rsid w:val="00553A1C"/>
    <w:rsid w:val="00553E4C"/>
    <w:rsid w:val="0056264E"/>
    <w:rsid w:val="00584580"/>
    <w:rsid w:val="00592A99"/>
    <w:rsid w:val="005B1BFF"/>
    <w:rsid w:val="005D3394"/>
    <w:rsid w:val="005E5F4D"/>
    <w:rsid w:val="005E6732"/>
    <w:rsid w:val="006347A5"/>
    <w:rsid w:val="006356CC"/>
    <w:rsid w:val="00637038"/>
    <w:rsid w:val="006974E3"/>
    <w:rsid w:val="006A6888"/>
    <w:rsid w:val="006B6C9C"/>
    <w:rsid w:val="006C53DD"/>
    <w:rsid w:val="006F5908"/>
    <w:rsid w:val="00720C82"/>
    <w:rsid w:val="00746541"/>
    <w:rsid w:val="007522F2"/>
    <w:rsid w:val="0075425F"/>
    <w:rsid w:val="00754632"/>
    <w:rsid w:val="007578AA"/>
    <w:rsid w:val="007A3084"/>
    <w:rsid w:val="007B2DF3"/>
    <w:rsid w:val="007C3D21"/>
    <w:rsid w:val="007F73A5"/>
    <w:rsid w:val="0081387D"/>
    <w:rsid w:val="008666C6"/>
    <w:rsid w:val="00873877"/>
    <w:rsid w:val="008A06C7"/>
    <w:rsid w:val="008A776A"/>
    <w:rsid w:val="008B0104"/>
    <w:rsid w:val="008B2D93"/>
    <w:rsid w:val="008B7063"/>
    <w:rsid w:val="008C0189"/>
    <w:rsid w:val="008C4082"/>
    <w:rsid w:val="008D6649"/>
    <w:rsid w:val="00913E73"/>
    <w:rsid w:val="009159C1"/>
    <w:rsid w:val="00961323"/>
    <w:rsid w:val="009753F2"/>
    <w:rsid w:val="00982D59"/>
    <w:rsid w:val="009A7AB7"/>
    <w:rsid w:val="009C7DC9"/>
    <w:rsid w:val="009D57D3"/>
    <w:rsid w:val="00A620C9"/>
    <w:rsid w:val="00A74CC3"/>
    <w:rsid w:val="00A80065"/>
    <w:rsid w:val="00A800F3"/>
    <w:rsid w:val="00A94886"/>
    <w:rsid w:val="00AA1F60"/>
    <w:rsid w:val="00AD1ADE"/>
    <w:rsid w:val="00AD213E"/>
    <w:rsid w:val="00AF5442"/>
    <w:rsid w:val="00B21270"/>
    <w:rsid w:val="00B24317"/>
    <w:rsid w:val="00B32510"/>
    <w:rsid w:val="00B51EF2"/>
    <w:rsid w:val="00B71F0F"/>
    <w:rsid w:val="00B90D93"/>
    <w:rsid w:val="00BA2B42"/>
    <w:rsid w:val="00BA2D2F"/>
    <w:rsid w:val="00C212C2"/>
    <w:rsid w:val="00C3154B"/>
    <w:rsid w:val="00C45748"/>
    <w:rsid w:val="00C5283E"/>
    <w:rsid w:val="00C5563D"/>
    <w:rsid w:val="00C60481"/>
    <w:rsid w:val="00C61F7A"/>
    <w:rsid w:val="00C63E3D"/>
    <w:rsid w:val="00C67258"/>
    <w:rsid w:val="00C93504"/>
    <w:rsid w:val="00CB5EF5"/>
    <w:rsid w:val="00CD60CA"/>
    <w:rsid w:val="00CF2D79"/>
    <w:rsid w:val="00D037BE"/>
    <w:rsid w:val="00D21177"/>
    <w:rsid w:val="00D456A1"/>
    <w:rsid w:val="00D47989"/>
    <w:rsid w:val="00D93067"/>
    <w:rsid w:val="00DA21FA"/>
    <w:rsid w:val="00DB5AED"/>
    <w:rsid w:val="00E11621"/>
    <w:rsid w:val="00E304D4"/>
    <w:rsid w:val="00E30FB8"/>
    <w:rsid w:val="00E31504"/>
    <w:rsid w:val="00E4237B"/>
    <w:rsid w:val="00E47E4A"/>
    <w:rsid w:val="00E5628F"/>
    <w:rsid w:val="00E87D29"/>
    <w:rsid w:val="00ED1881"/>
    <w:rsid w:val="00EE354C"/>
    <w:rsid w:val="00EE3B9B"/>
    <w:rsid w:val="00F061A2"/>
    <w:rsid w:val="00F173E9"/>
    <w:rsid w:val="00F20936"/>
    <w:rsid w:val="00F25E20"/>
    <w:rsid w:val="00F453C8"/>
    <w:rsid w:val="00F65A26"/>
    <w:rsid w:val="00F75074"/>
    <w:rsid w:val="00F95C72"/>
    <w:rsid w:val="00F97F97"/>
    <w:rsid w:val="00FA0268"/>
    <w:rsid w:val="00FB1681"/>
    <w:rsid w:val="00FD3892"/>
    <w:rsid w:val="00FE02C1"/>
    <w:rsid w:val="00FE6112"/>
    <w:rsid w:val="00FF17F8"/>
    <w:rsid w:val="00FF33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573C49"/>
  <w15:chartTrackingRefBased/>
  <w15:docId w15:val="{553E5FC8-21C0-4F1B-B748-217EDED5C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084"/>
    <w:pPr>
      <w:spacing w:after="200" w:line="276" w:lineRule="auto"/>
    </w:pPr>
    <w:rPr>
      <w:rFonts w:ascii="Calibri" w:eastAsia="Calibri" w:hAnsi="Calibri"/>
      <w:sz w:val="22"/>
      <w:szCs w:val="22"/>
      <w:lang w:eastAsia="en-US"/>
    </w:rPr>
  </w:style>
  <w:style w:type="paragraph" w:styleId="Heading1">
    <w:name w:val="heading 1"/>
    <w:basedOn w:val="Normal"/>
    <w:next w:val="Normal"/>
    <w:qFormat/>
    <w:rsid w:val="00B2431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2431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E7E9A"/>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qFormat/>
    <w:rsid w:val="004E7E9A"/>
    <w:pPr>
      <w:keepNext/>
      <w:spacing w:before="240" w:after="60" w:line="240" w:lineRule="auto"/>
      <w:outlineLvl w:val="3"/>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Contemporary">
    <w:name w:val="Table Contemporary"/>
    <w:basedOn w:val="TableNormal"/>
    <w:rsid w:val="0025421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
    <w:name w:val="Table Grid"/>
    <w:basedOn w:val="TableNormal"/>
    <w:rsid w:val="00FE02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E7E9A"/>
    <w:pPr>
      <w:tabs>
        <w:tab w:val="center" w:pos="4153"/>
        <w:tab w:val="right" w:pos="8306"/>
      </w:tabs>
    </w:pPr>
  </w:style>
  <w:style w:type="paragraph" w:styleId="Footer">
    <w:name w:val="footer"/>
    <w:basedOn w:val="Normal"/>
    <w:link w:val="FooterChar"/>
    <w:rsid w:val="004E7E9A"/>
    <w:pPr>
      <w:tabs>
        <w:tab w:val="center" w:pos="4153"/>
        <w:tab w:val="right" w:pos="8306"/>
      </w:tabs>
    </w:pPr>
  </w:style>
  <w:style w:type="paragraph" w:styleId="BodyText">
    <w:name w:val="Body Text"/>
    <w:basedOn w:val="Normal"/>
    <w:rsid w:val="004E7E9A"/>
    <w:pPr>
      <w:spacing w:after="0" w:line="240" w:lineRule="auto"/>
    </w:pPr>
    <w:rPr>
      <w:rFonts w:ascii="Arial" w:eastAsia="Times New Roman" w:hAnsi="Arial" w:cs="Arial"/>
      <w:sz w:val="20"/>
      <w:szCs w:val="24"/>
    </w:rPr>
  </w:style>
  <w:style w:type="paragraph" w:styleId="BodyText2">
    <w:name w:val="Body Text 2"/>
    <w:basedOn w:val="Normal"/>
    <w:rsid w:val="004E7E9A"/>
    <w:pPr>
      <w:spacing w:after="0" w:line="240" w:lineRule="auto"/>
    </w:pPr>
    <w:rPr>
      <w:rFonts w:ascii="Arial" w:eastAsia="Times New Roman" w:hAnsi="Arial" w:cs="Arial"/>
      <w:bCs/>
      <w:szCs w:val="24"/>
    </w:rPr>
  </w:style>
  <w:style w:type="character" w:customStyle="1" w:styleId="FooterChar">
    <w:name w:val="Footer Char"/>
    <w:link w:val="Footer"/>
    <w:semiHidden/>
    <w:rsid w:val="007C3D21"/>
    <w:rPr>
      <w:rFonts w:ascii="Calibri" w:eastAsia="Calibri" w:hAnsi="Calibri"/>
      <w:sz w:val="22"/>
      <w:szCs w:val="22"/>
      <w:lang w:val="en-GB" w:eastAsia="en-US" w:bidi="ar-SA"/>
    </w:rPr>
  </w:style>
  <w:style w:type="character" w:styleId="Hyperlink">
    <w:name w:val="Hyperlink"/>
    <w:rsid w:val="007C3D21"/>
    <w:rPr>
      <w:color w:val="0000FF"/>
      <w:u w:val="single"/>
    </w:rPr>
  </w:style>
  <w:style w:type="paragraph" w:styleId="BodyTextIndent">
    <w:name w:val="Body Text Indent"/>
    <w:basedOn w:val="Normal"/>
    <w:link w:val="BodyTextIndentChar"/>
    <w:rsid w:val="00B24317"/>
    <w:pPr>
      <w:spacing w:after="120"/>
      <w:ind w:left="283"/>
    </w:pPr>
  </w:style>
  <w:style w:type="paragraph" w:styleId="BalloonText">
    <w:name w:val="Balloon Text"/>
    <w:basedOn w:val="Normal"/>
    <w:semiHidden/>
    <w:rsid w:val="00F061A2"/>
    <w:rPr>
      <w:rFonts w:ascii="Tahoma" w:hAnsi="Tahoma" w:cs="Tahoma"/>
      <w:sz w:val="16"/>
      <w:szCs w:val="16"/>
    </w:rPr>
  </w:style>
  <w:style w:type="character" w:customStyle="1" w:styleId="BodyTextIndentChar">
    <w:name w:val="Body Text Indent Char"/>
    <w:link w:val="BodyTextIndent"/>
    <w:rsid w:val="006356CC"/>
    <w:rPr>
      <w:rFonts w:ascii="Calibri" w:eastAsia="Calibri" w:hAnsi="Calibri"/>
      <w:sz w:val="22"/>
      <w:szCs w:val="22"/>
      <w:lang w:eastAsia="en-US"/>
    </w:rPr>
  </w:style>
  <w:style w:type="table" w:styleId="GridTable5Dark-Accent5">
    <w:name w:val="Grid Table 5 Dark Accent 5"/>
    <w:basedOn w:val="TableNormal"/>
    <w:uiPriority w:val="50"/>
    <w:rsid w:val="00C45748"/>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GridTable4-Accent5">
    <w:name w:val="Grid Table 4 Accent 5"/>
    <w:basedOn w:val="TableNormal"/>
    <w:uiPriority w:val="49"/>
    <w:rsid w:val="002349AF"/>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2-Accent5">
    <w:name w:val="Grid Table 2 Accent 5"/>
    <w:basedOn w:val="TableNormal"/>
    <w:uiPriority w:val="47"/>
    <w:rsid w:val="002349AF"/>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ListParagraph">
    <w:name w:val="List Paragraph"/>
    <w:basedOn w:val="Normal"/>
    <w:uiPriority w:val="34"/>
    <w:qFormat/>
    <w:rsid w:val="004A1D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8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hart" Target="charts/chart2.xml"/></Relationships>
</file>

<file path=word/_rels/footer2.xml.rels><?xml version="1.0" encoding="UTF-8" standalone="yes"?>
<Relationships xmlns="http://schemas.openxmlformats.org/package/2006/relationships"><Relationship Id="rId3" Type="http://schemas.openxmlformats.org/officeDocument/2006/relationships/hyperlink" Target="https://www.google.co.uk/url?sa=i&amp;rct=j&amp;q=&amp;esrc=s&amp;source=images&amp;cd=&amp;cad=rja&amp;uact=8&amp;ved=&amp;url=http://www.britishhardwoods.co.uk/&amp;psig=AFQjCNFTzquKQcw4nQlxjDvHXCSnpHKl5w&amp;ust=1445085530561726" TargetMode="External"/><Relationship Id="rId2" Type="http://schemas.openxmlformats.org/officeDocument/2006/relationships/hyperlink" Target="http://www.oiluk.net" TargetMode="External"/><Relationship Id="rId1" Type="http://schemas.openxmlformats.org/officeDocument/2006/relationships/hyperlink" Target="mailto:info@oiluk.net" TargetMode="External"/><Relationship Id="rId4"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r>
              <a:rPr lang="en-GB"/>
              <a:t>Flash Point Comparison of Food Grade Heat Transfer Fluids</a:t>
            </a:r>
          </a:p>
        </c:rich>
      </c:tx>
      <c:overlay val="0"/>
      <c:spPr>
        <a:noFill/>
        <a:ln>
          <a:noFill/>
        </a:ln>
        <a:effectLst/>
      </c:spPr>
      <c:txPr>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endParaRPr lang="en-US"/>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Sheet1!$A$2:$A$6</c:f>
              <c:strCache>
                <c:ptCount val="5"/>
                <c:pt idx="0">
                  <c:v>Therminol XP</c:v>
                </c:pt>
                <c:pt idx="1">
                  <c:v>Shell FM</c:v>
                </c:pt>
                <c:pt idx="2">
                  <c:v>Globaltherm FG</c:v>
                </c:pt>
                <c:pt idx="3">
                  <c:v>Petro-Canada Purity FG</c:v>
                </c:pt>
                <c:pt idx="4">
                  <c:v>Thermaltrans FG</c:v>
                </c:pt>
              </c:strCache>
            </c:strRef>
          </c:cat>
          <c:val>
            <c:numRef>
              <c:f>Sheet1!$B$2:$B$6</c:f>
              <c:numCache>
                <c:formatCode>General</c:formatCode>
                <c:ptCount val="5"/>
                <c:pt idx="0">
                  <c:v>199</c:v>
                </c:pt>
                <c:pt idx="1">
                  <c:v>216</c:v>
                </c:pt>
                <c:pt idx="2">
                  <c:v>216</c:v>
                </c:pt>
                <c:pt idx="3">
                  <c:v>237</c:v>
                </c:pt>
                <c:pt idx="4">
                  <c:v>265</c:v>
                </c:pt>
              </c:numCache>
            </c:numRef>
          </c:val>
          <c:extLst>
            <c:ext xmlns:c16="http://schemas.microsoft.com/office/drawing/2014/chart" uri="{C3380CC4-5D6E-409C-BE32-E72D297353CC}">
              <c16:uniqueId val="{00000000-46E6-47B3-B69B-2DE08BCDEF48}"/>
            </c:ext>
          </c:extLst>
        </c:ser>
        <c:dLbls>
          <c:showLegendKey val="0"/>
          <c:showVal val="0"/>
          <c:showCatName val="0"/>
          <c:showSerName val="0"/>
          <c:showPercent val="0"/>
          <c:showBubbleSize val="0"/>
        </c:dLbls>
        <c:gapWidth val="247"/>
        <c:axId val="207735616"/>
        <c:axId val="207729344"/>
        <c:extLst>
          <c:ext xmlns:c15="http://schemas.microsoft.com/office/drawing/2012/chart" uri="{02D57815-91ED-43cb-92C2-25804820EDAC}">
            <c15:filteredBarSeries>
              <c15:ser>
                <c:idx val="1"/>
                <c:order val="1"/>
                <c:tx>
                  <c:strRef>
                    <c:extLst>
                      <c:ext uri="{02D57815-91ED-43cb-92C2-25804820EDAC}">
                        <c15:formulaRef>
                          <c15:sqref>Sheet1!$C$1</c15:sqref>
                        </c15:formulaRef>
                      </c:ext>
                    </c:extLst>
                    <c:strCache>
                      <c:ptCount val="1"/>
                      <c:pt idx="0">
                        <c:v>Series 2</c:v>
                      </c:pt>
                    </c:strCache>
                  </c:strRef>
                </c:tx>
                <c:spPr>
                  <a:solidFill>
                    <a:schemeClr val="accent3"/>
                  </a:solidFill>
                  <a:ln>
                    <a:noFill/>
                  </a:ln>
                  <a:effectLst/>
                </c:spPr>
                <c:invertIfNegative val="0"/>
                <c:cat>
                  <c:strRef>
                    <c:extLst>
                      <c:ext uri="{02D57815-91ED-43cb-92C2-25804820EDAC}">
                        <c15:formulaRef>
                          <c15:sqref>Sheet1!$A$2:$A$6</c15:sqref>
                        </c15:formulaRef>
                      </c:ext>
                    </c:extLst>
                    <c:strCache>
                      <c:ptCount val="5"/>
                      <c:pt idx="0">
                        <c:v>Therminol XP</c:v>
                      </c:pt>
                      <c:pt idx="1">
                        <c:v>Shell FM</c:v>
                      </c:pt>
                      <c:pt idx="2">
                        <c:v>Globaltherm FG</c:v>
                      </c:pt>
                      <c:pt idx="3">
                        <c:v>Petro-Canada Purity FG</c:v>
                      </c:pt>
                      <c:pt idx="4">
                        <c:v>Thermaltrans FG</c:v>
                      </c:pt>
                    </c:strCache>
                  </c:strRef>
                </c:cat>
                <c:val>
                  <c:numRef>
                    <c:extLst>
                      <c:ext uri="{02D57815-91ED-43cb-92C2-25804820EDAC}">
                        <c15:formulaRef>
                          <c15:sqref>Sheet1!$C$2:$C$6</c15:sqref>
                        </c15:formulaRef>
                      </c:ext>
                    </c:extLst>
                    <c:numCache>
                      <c:formatCode>General</c:formatCode>
                      <c:ptCount val="5"/>
                      <c:pt idx="0">
                        <c:v>0</c:v>
                      </c:pt>
                      <c:pt idx="1">
                        <c:v>0</c:v>
                      </c:pt>
                      <c:pt idx="2">
                        <c:v>0</c:v>
                      </c:pt>
                      <c:pt idx="3">
                        <c:v>0</c:v>
                      </c:pt>
                      <c:pt idx="4">
                        <c:v>0</c:v>
                      </c:pt>
                    </c:numCache>
                  </c:numRef>
                </c:val>
                <c:extLst>
                  <c:ext xmlns:c16="http://schemas.microsoft.com/office/drawing/2014/chart" uri="{C3380CC4-5D6E-409C-BE32-E72D297353CC}">
                    <c16:uniqueId val="{00000001-46E6-47B3-B69B-2DE08BCDEF48}"/>
                  </c:ext>
                </c:extLst>
              </c15:ser>
            </c15:filteredBarSeries>
          </c:ext>
        </c:extLst>
      </c:barChart>
      <c:lineChart>
        <c:grouping val="standard"/>
        <c:varyColors val="0"/>
        <c:dLbls>
          <c:showLegendKey val="0"/>
          <c:showVal val="0"/>
          <c:showCatName val="0"/>
          <c:showSerName val="0"/>
          <c:showPercent val="0"/>
          <c:showBubbleSize val="0"/>
        </c:dLbls>
        <c:marker val="1"/>
        <c:smooth val="0"/>
        <c:axId val="207735616"/>
        <c:axId val="207729344"/>
        <c:extLst>
          <c:ext xmlns:c15="http://schemas.microsoft.com/office/drawing/2012/chart" uri="{02D57815-91ED-43cb-92C2-25804820EDAC}">
            <c15:filteredLineSeries>
              <c15:ser>
                <c:idx val="2"/>
                <c:order val="2"/>
                <c:tx>
                  <c:strRef>
                    <c:extLst>
                      <c:ext uri="{02D57815-91ED-43cb-92C2-25804820EDAC}">
                        <c15:formulaRef>
                          <c15:sqref>Sheet1!$D$1</c15:sqref>
                        </c15:formulaRef>
                      </c:ext>
                    </c:extLst>
                    <c:strCache>
                      <c:ptCount val="1"/>
                      <c:pt idx="0">
                        <c:v>Series 3</c:v>
                      </c:pt>
                    </c:strCache>
                  </c:strRef>
                </c:tx>
                <c:spPr>
                  <a:ln w="22225" cap="rnd">
                    <a:solidFill>
                      <a:schemeClr val="accent5"/>
                    </a:solidFill>
                    <a:round/>
                  </a:ln>
                  <a:effectLst/>
                </c:spPr>
                <c:marker>
                  <c:symbol val="none"/>
                </c:marker>
                <c:cat>
                  <c:strRef>
                    <c:extLst>
                      <c:ext uri="{02D57815-91ED-43cb-92C2-25804820EDAC}">
                        <c15:formulaRef>
                          <c15:sqref>Sheet1!$A$2:$A$6</c15:sqref>
                        </c15:formulaRef>
                      </c:ext>
                    </c:extLst>
                    <c:strCache>
                      <c:ptCount val="5"/>
                      <c:pt idx="0">
                        <c:v>Therminol XP</c:v>
                      </c:pt>
                      <c:pt idx="1">
                        <c:v>Shell FM</c:v>
                      </c:pt>
                      <c:pt idx="2">
                        <c:v>Globaltherm FG</c:v>
                      </c:pt>
                      <c:pt idx="3">
                        <c:v>Petro-Canada Purity FG</c:v>
                      </c:pt>
                      <c:pt idx="4">
                        <c:v>Thermaltrans FG</c:v>
                      </c:pt>
                    </c:strCache>
                  </c:strRef>
                </c:cat>
                <c:val>
                  <c:numRef>
                    <c:extLst>
                      <c:ext uri="{02D57815-91ED-43cb-92C2-25804820EDAC}">
                        <c15:formulaRef>
                          <c15:sqref>Sheet1!$D$2:$D$6</c15:sqref>
                        </c15:formulaRef>
                      </c:ext>
                    </c:extLst>
                    <c:numCache>
                      <c:formatCode>General</c:formatCode>
                      <c:ptCount val="5"/>
                      <c:pt idx="0">
                        <c:v>0</c:v>
                      </c:pt>
                      <c:pt idx="1">
                        <c:v>0</c:v>
                      </c:pt>
                      <c:pt idx="2">
                        <c:v>0</c:v>
                      </c:pt>
                      <c:pt idx="3">
                        <c:v>0</c:v>
                      </c:pt>
                      <c:pt idx="4">
                        <c:v>0</c:v>
                      </c:pt>
                    </c:numCache>
                  </c:numRef>
                </c:val>
                <c:smooth val="0"/>
                <c:extLst>
                  <c:ext xmlns:c16="http://schemas.microsoft.com/office/drawing/2014/chart" uri="{C3380CC4-5D6E-409C-BE32-E72D297353CC}">
                    <c16:uniqueId val="{00000002-46E6-47B3-B69B-2DE08BCDEF48}"/>
                  </c:ext>
                </c:extLst>
              </c15:ser>
            </c15:filteredLineSeries>
          </c:ext>
        </c:extLst>
      </c:lineChart>
      <c:catAx>
        <c:axId val="207735616"/>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out"/>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en-US"/>
          </a:p>
        </c:txPr>
        <c:crossAx val="207729344"/>
        <c:crosses val="autoZero"/>
        <c:auto val="1"/>
        <c:lblAlgn val="ctr"/>
        <c:lblOffset val="100"/>
        <c:noMultiLvlLbl val="0"/>
      </c:catAx>
      <c:valAx>
        <c:axId val="207729344"/>
        <c:scaling>
          <c:orientation val="minMax"/>
        </c:scaling>
        <c:delete val="0"/>
        <c:axPos val="l"/>
        <c:majorGridlines>
          <c:spPr>
            <a:ln w="9525" cap="flat" cmpd="sng" algn="ctr">
              <a:solidFill>
                <a:schemeClr val="dk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r>
                  <a:rPr lang="en-GB"/>
                  <a:t>Flash Point  COC °Centigrade</a:t>
                </a:r>
              </a:p>
            </c:rich>
          </c:tx>
          <c:layout>
            <c:manualLayout>
              <c:xMode val="edge"/>
              <c:yMode val="edge"/>
              <c:x val="2.0865936358894107E-2"/>
              <c:y val="0.33457531159390419"/>
            </c:manualLayout>
          </c:layout>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crossAx val="207735616"/>
        <c:crossesAt val="1"/>
        <c:crossBetween val="between"/>
      </c:valAx>
      <c:spPr>
        <a:pattFill prst="ltDnDiag">
          <a:fgClr>
            <a:schemeClr val="dk1">
              <a:lumMod val="15000"/>
              <a:lumOff val="85000"/>
            </a:schemeClr>
          </a:fgClr>
          <a:bgClr>
            <a:schemeClr val="lt1"/>
          </a:bgClr>
        </a:pattFill>
        <a:ln>
          <a:noFill/>
        </a:ln>
        <a:effectLst/>
      </c:spPr>
    </c:plotArea>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GB"/>
              <a:t>Noak Evaporation Loss ASTM D 5800 Volatility Test</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barChart>
        <c:barDir val="col"/>
        <c:grouping val="stacked"/>
        <c:varyColors val="0"/>
        <c:ser>
          <c:idx val="0"/>
          <c:order val="0"/>
          <c:tx>
            <c:strRef>
              <c:f>Sheet1!$B$1</c:f>
              <c:strCache>
                <c:ptCount val="1"/>
                <c:pt idx="0">
                  <c:v>Series 1</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Sheet1!$A$2:$A$5</c:f>
              <c:strCache>
                <c:ptCount val="2"/>
                <c:pt idx="0">
                  <c:v>Mineral Oil Based HTF</c:v>
                </c:pt>
                <c:pt idx="1">
                  <c:v>Thermaltrans FG</c:v>
                </c:pt>
              </c:strCache>
            </c:strRef>
          </c:cat>
          <c:val>
            <c:numRef>
              <c:f>Sheet1!$B$2:$B$5</c:f>
              <c:numCache>
                <c:formatCode>General</c:formatCode>
                <c:ptCount val="4"/>
                <c:pt idx="0">
                  <c:v>16</c:v>
                </c:pt>
                <c:pt idx="1">
                  <c:v>2</c:v>
                </c:pt>
              </c:numCache>
            </c:numRef>
          </c:val>
          <c:extLst>
            <c:ext xmlns:c16="http://schemas.microsoft.com/office/drawing/2014/chart" uri="{C3380CC4-5D6E-409C-BE32-E72D297353CC}">
              <c16:uniqueId val="{00000000-DC36-42C8-BE84-E4E7E9AA765A}"/>
            </c:ext>
          </c:extLst>
        </c:ser>
        <c:ser>
          <c:idx val="1"/>
          <c:order val="1"/>
          <c:tx>
            <c:strRef>
              <c:f>Sheet1!$C$1</c:f>
              <c:strCache>
                <c:ptCount val="1"/>
                <c:pt idx="0">
                  <c:v>Series 2</c:v>
                </c:pt>
              </c:strCache>
            </c:strRef>
          </c:tx>
          <c:spPr>
            <a:solidFill>
              <a:schemeClr val="accent2">
                <a:alpha val="85000"/>
              </a:schemeClr>
            </a:solidFill>
            <a:ln w="9525" cap="flat" cmpd="sng" algn="ctr">
              <a:solidFill>
                <a:schemeClr val="lt1">
                  <a:alpha val="50000"/>
                </a:schemeClr>
              </a:solidFill>
              <a:round/>
            </a:ln>
            <a:effectLst/>
          </c:spPr>
          <c:invertIfNegative val="0"/>
          <c:cat>
            <c:strRef>
              <c:f>Sheet1!$A$2:$A$5</c:f>
              <c:strCache>
                <c:ptCount val="2"/>
                <c:pt idx="0">
                  <c:v>Mineral Oil Based HTF</c:v>
                </c:pt>
                <c:pt idx="1">
                  <c:v>Thermaltrans FG</c:v>
                </c:pt>
              </c:strCache>
            </c:strRef>
          </c:cat>
          <c:val>
            <c:numRef>
              <c:f>Sheet1!$C$2:$C$5</c:f>
              <c:numCache>
                <c:formatCode>General</c:formatCode>
                <c:ptCount val="4"/>
                <c:pt idx="0">
                  <c:v>0</c:v>
                </c:pt>
                <c:pt idx="1">
                  <c:v>0</c:v>
                </c:pt>
              </c:numCache>
            </c:numRef>
          </c:val>
          <c:extLst>
            <c:ext xmlns:c16="http://schemas.microsoft.com/office/drawing/2014/chart" uri="{C3380CC4-5D6E-409C-BE32-E72D297353CC}">
              <c16:uniqueId val="{00000001-DC36-42C8-BE84-E4E7E9AA765A}"/>
            </c:ext>
          </c:extLst>
        </c:ser>
        <c:ser>
          <c:idx val="2"/>
          <c:order val="2"/>
          <c:tx>
            <c:strRef>
              <c:f>Sheet1!$D$1</c:f>
              <c:strCache>
                <c:ptCount val="1"/>
                <c:pt idx="0">
                  <c:v>Series 3</c:v>
                </c:pt>
              </c:strCache>
            </c:strRef>
          </c:tx>
          <c:spPr>
            <a:solidFill>
              <a:schemeClr val="accent3">
                <a:alpha val="85000"/>
              </a:schemeClr>
            </a:solidFill>
            <a:ln w="9525" cap="flat" cmpd="sng" algn="ctr">
              <a:solidFill>
                <a:schemeClr val="lt1">
                  <a:alpha val="50000"/>
                </a:schemeClr>
              </a:solidFill>
              <a:round/>
            </a:ln>
            <a:effectLst/>
          </c:spPr>
          <c:invertIfNegative val="0"/>
          <c:cat>
            <c:strRef>
              <c:f>Sheet1!$A$2:$A$5</c:f>
              <c:strCache>
                <c:ptCount val="2"/>
                <c:pt idx="0">
                  <c:v>Mineral Oil Based HTF</c:v>
                </c:pt>
                <c:pt idx="1">
                  <c:v>Thermaltrans FG</c:v>
                </c:pt>
              </c:strCache>
            </c:strRef>
          </c:cat>
          <c:val>
            <c:numRef>
              <c:f>Sheet1!$D$2:$D$5</c:f>
              <c:numCache>
                <c:formatCode>General</c:formatCode>
                <c:ptCount val="4"/>
                <c:pt idx="0">
                  <c:v>0</c:v>
                </c:pt>
                <c:pt idx="1">
                  <c:v>0</c:v>
                </c:pt>
              </c:numCache>
            </c:numRef>
          </c:val>
          <c:extLst>
            <c:ext xmlns:c16="http://schemas.microsoft.com/office/drawing/2014/chart" uri="{C3380CC4-5D6E-409C-BE32-E72D297353CC}">
              <c16:uniqueId val="{00000002-DC36-42C8-BE84-E4E7E9AA765A}"/>
            </c:ext>
          </c:extLst>
        </c:ser>
        <c:dLbls>
          <c:showLegendKey val="0"/>
          <c:showVal val="0"/>
          <c:showCatName val="0"/>
          <c:showSerName val="0"/>
          <c:showPercent val="0"/>
          <c:showBubbleSize val="0"/>
        </c:dLbls>
        <c:gapWidth val="150"/>
        <c:overlap val="100"/>
        <c:axId val="207731304"/>
        <c:axId val="207731696"/>
      </c:barChart>
      <c:catAx>
        <c:axId val="20773130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207731696"/>
        <c:crosses val="autoZero"/>
        <c:auto val="1"/>
        <c:lblAlgn val="ctr"/>
        <c:lblOffset val="100"/>
        <c:noMultiLvlLbl val="0"/>
      </c:catAx>
      <c:valAx>
        <c:axId val="207731696"/>
        <c:scaling>
          <c:orientation val="minMax"/>
        </c:scaling>
        <c:delete val="1"/>
        <c:axPos val="l"/>
        <c:majorGridlines>
          <c:spPr>
            <a:ln w="9525" cap="flat" cmpd="sng" algn="ctr">
              <a:solidFill>
                <a:schemeClr val="accent1"/>
              </a:soli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en-GB"/>
                  <a:t>Evaporation Loss % Weight</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en-US"/>
            </a:p>
          </c:txPr>
        </c:title>
        <c:numFmt formatCode="General" sourceLinked="1"/>
        <c:majorTickMark val="none"/>
        <c:minorTickMark val="none"/>
        <c:tickLblPos val="nextTo"/>
        <c:crossAx val="207731304"/>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1">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2.xml><?xml version="1.0" encoding="utf-8"?>
<cs:chartStyle xmlns:cs="http://schemas.microsoft.com/office/drawing/2012/chartStyle" xmlns:a="http://schemas.openxmlformats.org/drawingml/2006/main" id="300">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584</TotalTime>
  <Pages>5</Pages>
  <Words>892</Words>
  <Characters>5090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5971</CharactersWithSpaces>
  <SharedDoc>false</SharedDoc>
  <HLinks>
    <vt:vector size="18" baseType="variant">
      <vt:variant>
        <vt:i4>3670071</vt:i4>
      </vt:variant>
      <vt:variant>
        <vt:i4>6</vt:i4>
      </vt:variant>
      <vt:variant>
        <vt:i4>0</vt:i4>
      </vt:variant>
      <vt:variant>
        <vt:i4>5</vt:i4>
      </vt:variant>
      <vt:variant>
        <vt:lpwstr>https://www.google.co.uk/url?sa=i&amp;rct=j&amp;q=&amp;esrc=s&amp;source=images&amp;cd=&amp;cad=rja&amp;uact=8&amp;ved=&amp;url=http://www.britishhardwoods.co.uk/&amp;psig=AFQjCNFTzquKQcw4nQlxjDvHXCSnpHKl5w&amp;ust=1445085530561726</vt:lpwstr>
      </vt:variant>
      <vt:variant>
        <vt:lpwstr/>
      </vt:variant>
      <vt:variant>
        <vt:i4>5832711</vt:i4>
      </vt:variant>
      <vt:variant>
        <vt:i4>3</vt:i4>
      </vt:variant>
      <vt:variant>
        <vt:i4>0</vt:i4>
      </vt:variant>
      <vt:variant>
        <vt:i4>5</vt:i4>
      </vt:variant>
      <vt:variant>
        <vt:lpwstr>http://www.oiluk.net/</vt:lpwstr>
      </vt:variant>
      <vt:variant>
        <vt:lpwstr/>
      </vt:variant>
      <vt:variant>
        <vt:i4>7995469</vt:i4>
      </vt:variant>
      <vt:variant>
        <vt:i4>0</vt:i4>
      </vt:variant>
      <vt:variant>
        <vt:i4>0</vt:i4>
      </vt:variant>
      <vt:variant>
        <vt:i4>5</vt:i4>
      </vt:variant>
      <vt:variant>
        <vt:lpwstr>mailto:info@oiluk.net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Phil</dc:creator>
  <cp:keywords/>
  <dc:description/>
  <cp:lastModifiedBy>Philip Williams</cp:lastModifiedBy>
  <cp:revision>22</cp:revision>
  <cp:lastPrinted>2016-11-02T12:03:00Z</cp:lastPrinted>
  <dcterms:created xsi:type="dcterms:W3CDTF">2016-11-01T17:57:00Z</dcterms:created>
  <dcterms:modified xsi:type="dcterms:W3CDTF">2018-02-26T14:06:00Z</dcterms:modified>
  <cp:contentStatus/>
</cp:coreProperties>
</file>